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6C" w:rsidRPr="00CE67BA" w:rsidRDefault="00624292" w:rsidP="00624292">
      <w:pPr>
        <w:widowControl/>
        <w:spacing w:line="240" w:lineRule="auto"/>
        <w:ind w:firstLine="709"/>
        <w:jc w:val="left"/>
        <w:rPr>
          <w:rFonts w:eastAsia="Times New Roman"/>
          <w:b/>
          <w:sz w:val="24"/>
          <w:szCs w:val="24"/>
          <w:lang w:val="ru-RU" w:eastAsia="uk-UA"/>
        </w:rPr>
      </w:pPr>
      <w:r w:rsidRPr="00CE67BA">
        <w:rPr>
          <w:rFonts w:eastAsia="Times New Roman"/>
          <w:b/>
          <w:sz w:val="24"/>
          <w:szCs w:val="24"/>
          <w:lang w:eastAsia="uk-UA"/>
        </w:rPr>
        <w:t xml:space="preserve">                   </w:t>
      </w:r>
      <w:r w:rsidR="00AC256C" w:rsidRPr="00CE67BA">
        <w:rPr>
          <w:rFonts w:eastAsia="Times New Roman"/>
          <w:b/>
          <w:sz w:val="24"/>
          <w:szCs w:val="24"/>
          <w:lang w:eastAsia="uk-UA"/>
        </w:rPr>
        <w:t>Примітки до фінансової звітності за 201</w:t>
      </w:r>
      <w:r w:rsidR="00AD20D7" w:rsidRPr="00CE67BA">
        <w:rPr>
          <w:rFonts w:eastAsia="Times New Roman"/>
          <w:b/>
          <w:sz w:val="24"/>
          <w:szCs w:val="24"/>
          <w:lang w:eastAsia="uk-UA"/>
        </w:rPr>
        <w:t>6</w:t>
      </w:r>
      <w:r w:rsidR="00AC256C" w:rsidRPr="00CE67BA">
        <w:rPr>
          <w:rFonts w:eastAsia="Times New Roman"/>
          <w:b/>
          <w:sz w:val="24"/>
          <w:szCs w:val="24"/>
          <w:lang w:eastAsia="uk-UA"/>
        </w:rPr>
        <w:t xml:space="preserve"> рік</w:t>
      </w:r>
    </w:p>
    <w:p w:rsidR="00AC256C" w:rsidRPr="00CE67BA" w:rsidRDefault="00AC256C" w:rsidP="0048003B">
      <w:pPr>
        <w:widowControl/>
        <w:spacing w:line="240" w:lineRule="auto"/>
        <w:ind w:firstLine="709"/>
        <w:jc w:val="center"/>
        <w:rPr>
          <w:rFonts w:eastAsia="Times New Roman"/>
          <w:b/>
          <w:sz w:val="24"/>
          <w:szCs w:val="24"/>
          <w:lang w:eastAsia="uk-UA"/>
        </w:rPr>
      </w:pPr>
    </w:p>
    <w:p w:rsidR="00310F2E" w:rsidRPr="00CE67BA" w:rsidRDefault="00AC256C" w:rsidP="005302EA">
      <w:pPr>
        <w:widowControl/>
        <w:spacing w:line="240" w:lineRule="auto"/>
        <w:ind w:firstLine="709"/>
        <w:jc w:val="left"/>
        <w:rPr>
          <w:rFonts w:eastAsia="Times New Roman"/>
          <w:b/>
          <w:sz w:val="24"/>
          <w:szCs w:val="24"/>
          <w:lang w:eastAsia="uk-UA"/>
        </w:rPr>
      </w:pPr>
      <w:r w:rsidRPr="00CE67BA">
        <w:rPr>
          <w:rFonts w:eastAsia="Times New Roman"/>
          <w:b/>
          <w:sz w:val="24"/>
          <w:szCs w:val="24"/>
          <w:lang w:eastAsia="uk-UA"/>
        </w:rPr>
        <w:br/>
      </w:r>
      <w:r w:rsidR="0018138A" w:rsidRPr="00CE67BA">
        <w:rPr>
          <w:rFonts w:eastAsia="Times New Roman"/>
          <w:b/>
          <w:sz w:val="24"/>
          <w:szCs w:val="24"/>
          <w:lang w:eastAsia="uk-UA"/>
        </w:rPr>
        <w:t>Товариство з обмеженою відповідальністю</w:t>
      </w:r>
      <w:r w:rsidRPr="00CE67BA">
        <w:rPr>
          <w:rFonts w:eastAsia="Times New Roman"/>
          <w:b/>
          <w:sz w:val="24"/>
          <w:szCs w:val="24"/>
          <w:lang w:eastAsia="uk-UA"/>
        </w:rPr>
        <w:t xml:space="preserve"> «</w:t>
      </w:r>
      <w:r w:rsidR="0018138A" w:rsidRPr="00CE67BA">
        <w:rPr>
          <w:rFonts w:eastAsia="Times New Roman"/>
          <w:b/>
          <w:sz w:val="24"/>
          <w:szCs w:val="24"/>
          <w:lang w:eastAsia="uk-UA"/>
        </w:rPr>
        <w:t>Фінансова Компанія</w:t>
      </w:r>
      <w:r w:rsidRPr="00CE67BA">
        <w:rPr>
          <w:rFonts w:eastAsia="Times New Roman"/>
          <w:b/>
          <w:sz w:val="24"/>
          <w:szCs w:val="24"/>
          <w:lang w:eastAsia="uk-UA"/>
        </w:rPr>
        <w:t>«</w:t>
      </w:r>
      <w:proofErr w:type="spellStart"/>
      <w:r w:rsidR="005302EA" w:rsidRPr="00CE67BA">
        <w:rPr>
          <w:rFonts w:eastAsia="Times New Roman"/>
          <w:b/>
          <w:sz w:val="24"/>
          <w:szCs w:val="24"/>
          <w:lang w:eastAsia="uk-UA"/>
        </w:rPr>
        <w:t>Преміум</w:t>
      </w:r>
      <w:proofErr w:type="spellEnd"/>
      <w:r w:rsidR="005302EA" w:rsidRPr="00CE67BA">
        <w:rPr>
          <w:rFonts w:eastAsia="Times New Roman"/>
          <w:b/>
          <w:sz w:val="24"/>
          <w:szCs w:val="24"/>
          <w:lang w:eastAsia="uk-UA"/>
        </w:rPr>
        <w:t xml:space="preserve"> </w:t>
      </w:r>
      <w:proofErr w:type="spellStart"/>
      <w:r w:rsidR="005302EA" w:rsidRPr="00CE67BA">
        <w:rPr>
          <w:rFonts w:eastAsia="Times New Roman"/>
          <w:b/>
          <w:sz w:val="24"/>
          <w:szCs w:val="24"/>
          <w:lang w:eastAsia="uk-UA"/>
        </w:rPr>
        <w:t>Кепітал</w:t>
      </w:r>
      <w:proofErr w:type="spellEnd"/>
      <w:r w:rsidR="005302EA" w:rsidRPr="00CE67BA">
        <w:rPr>
          <w:rFonts w:eastAsia="Times New Roman"/>
          <w:b/>
          <w:sz w:val="24"/>
          <w:szCs w:val="24"/>
          <w:lang w:eastAsia="uk-UA"/>
        </w:rPr>
        <w:t xml:space="preserve"> </w:t>
      </w:r>
      <w:r w:rsidR="004664B8" w:rsidRPr="00CE67BA">
        <w:rPr>
          <w:rFonts w:eastAsia="Times New Roman"/>
          <w:b/>
          <w:sz w:val="24"/>
          <w:szCs w:val="24"/>
          <w:lang w:eastAsia="uk-UA"/>
        </w:rPr>
        <w:t xml:space="preserve">         </w:t>
      </w:r>
      <w:r w:rsidR="005302EA" w:rsidRPr="00CE67BA">
        <w:rPr>
          <w:rFonts w:eastAsia="Times New Roman"/>
          <w:b/>
          <w:sz w:val="24"/>
          <w:szCs w:val="24"/>
          <w:lang w:eastAsia="uk-UA"/>
        </w:rPr>
        <w:t>Груп</w:t>
      </w:r>
      <w:r w:rsidRPr="00CE67BA">
        <w:rPr>
          <w:rFonts w:eastAsia="Times New Roman"/>
          <w:b/>
          <w:sz w:val="24"/>
          <w:szCs w:val="24"/>
          <w:lang w:eastAsia="uk-UA"/>
        </w:rPr>
        <w:t xml:space="preserve">» </w:t>
      </w:r>
      <w:r w:rsidR="005302EA" w:rsidRPr="00CE67BA">
        <w:rPr>
          <w:rFonts w:eastAsia="Times New Roman"/>
          <w:b/>
          <w:sz w:val="24"/>
          <w:szCs w:val="24"/>
          <w:lang w:eastAsia="uk-UA"/>
        </w:rPr>
        <w:t>.</w:t>
      </w:r>
    </w:p>
    <w:p w:rsidR="00310F2E" w:rsidRPr="00CE67BA" w:rsidRDefault="00310F2E" w:rsidP="0048003B">
      <w:pPr>
        <w:widowControl/>
        <w:spacing w:line="240" w:lineRule="auto"/>
        <w:ind w:firstLine="709"/>
        <w:jc w:val="center"/>
        <w:rPr>
          <w:rFonts w:eastAsia="Times New Roman"/>
          <w:b/>
          <w:sz w:val="24"/>
          <w:szCs w:val="24"/>
          <w:lang w:eastAsia="uk-UA"/>
        </w:rPr>
      </w:pPr>
    </w:p>
    <w:p w:rsidR="004664B8" w:rsidRPr="00CE67BA" w:rsidRDefault="004664B8" w:rsidP="004664B8">
      <w:pPr>
        <w:widowControl/>
        <w:spacing w:line="240" w:lineRule="auto"/>
        <w:ind w:firstLine="709"/>
        <w:rPr>
          <w:rFonts w:eastAsia="Times New Roman"/>
          <w:b/>
          <w:sz w:val="32"/>
          <w:szCs w:val="32"/>
          <w:lang w:eastAsia="uk-UA"/>
        </w:rPr>
      </w:pPr>
      <w:r w:rsidRPr="00CE67BA">
        <w:rPr>
          <w:rFonts w:eastAsia="Times New Roman"/>
          <w:b/>
          <w:sz w:val="32"/>
          <w:szCs w:val="32"/>
          <w:lang w:eastAsia="uk-UA"/>
        </w:rPr>
        <w:t>Зміст</w:t>
      </w:r>
    </w:p>
    <w:p w:rsidR="004664B8" w:rsidRPr="00CE67BA" w:rsidRDefault="004664B8" w:rsidP="004664B8">
      <w:pPr>
        <w:widowControl/>
        <w:spacing w:line="240" w:lineRule="auto"/>
        <w:ind w:firstLine="709"/>
        <w:rPr>
          <w:rFonts w:eastAsia="Times New Roman"/>
          <w:b/>
          <w:sz w:val="24"/>
          <w:szCs w:val="24"/>
          <w:lang w:eastAsia="uk-UA"/>
        </w:rPr>
      </w:pPr>
      <w:r w:rsidRPr="00CE67BA">
        <w:rPr>
          <w:rFonts w:eastAsia="Times New Roman"/>
          <w:b/>
          <w:sz w:val="24"/>
          <w:szCs w:val="24"/>
          <w:lang w:eastAsia="uk-UA"/>
        </w:rPr>
        <w:t>1.Загальна інформація та економічне середовище, в якому Товариство проводить свою діяльність.</w:t>
      </w:r>
    </w:p>
    <w:p w:rsidR="004664B8" w:rsidRPr="00CE67BA" w:rsidRDefault="004664B8" w:rsidP="004664B8">
      <w:pPr>
        <w:pStyle w:val="a3"/>
        <w:spacing w:after="0" w:line="240" w:lineRule="auto"/>
        <w:ind w:left="0" w:firstLine="709"/>
        <w:rPr>
          <w:rFonts w:ascii="Times New Roman" w:eastAsia="Times New Roman" w:hAnsi="Times New Roman"/>
          <w:b/>
          <w:sz w:val="24"/>
          <w:szCs w:val="24"/>
        </w:rPr>
      </w:pPr>
      <w:r w:rsidRPr="00CE67BA">
        <w:rPr>
          <w:rFonts w:ascii="Times New Roman" w:eastAsia="Times New Roman" w:hAnsi="Times New Roman"/>
          <w:b/>
          <w:sz w:val="24"/>
          <w:szCs w:val="24"/>
        </w:rPr>
        <w:t>2.Основи підготовки, затвердження і подання фінансової звітності</w:t>
      </w:r>
    </w:p>
    <w:p w:rsidR="004664B8" w:rsidRPr="00CE67BA" w:rsidRDefault="004664B8" w:rsidP="004664B8">
      <w:pPr>
        <w:pStyle w:val="a3"/>
        <w:spacing w:after="0" w:line="240" w:lineRule="auto"/>
        <w:ind w:left="0" w:firstLine="709"/>
        <w:rPr>
          <w:rFonts w:ascii="Times New Roman" w:eastAsia="Times New Roman" w:hAnsi="Times New Roman"/>
          <w:b/>
          <w:sz w:val="24"/>
          <w:szCs w:val="24"/>
        </w:rPr>
      </w:pPr>
      <w:r w:rsidRPr="00CE67BA">
        <w:rPr>
          <w:rFonts w:ascii="Times New Roman" w:eastAsia="Times New Roman" w:hAnsi="Times New Roman"/>
          <w:b/>
          <w:sz w:val="24"/>
          <w:szCs w:val="24"/>
        </w:rPr>
        <w:t>3.Суттєві облікові політики</w:t>
      </w:r>
    </w:p>
    <w:p w:rsidR="004664B8" w:rsidRPr="00CE67BA" w:rsidRDefault="004664B8" w:rsidP="004664B8">
      <w:pPr>
        <w:pStyle w:val="a3"/>
        <w:spacing w:after="0" w:line="240" w:lineRule="auto"/>
        <w:ind w:left="0" w:firstLine="709"/>
        <w:rPr>
          <w:rFonts w:ascii="Times New Roman" w:eastAsia="Times New Roman" w:hAnsi="Times New Roman"/>
          <w:b/>
          <w:i/>
          <w:sz w:val="24"/>
          <w:szCs w:val="24"/>
        </w:rPr>
      </w:pPr>
      <w:r w:rsidRPr="00CE67BA">
        <w:rPr>
          <w:rFonts w:ascii="Times New Roman" w:eastAsia="Times New Roman" w:hAnsi="Times New Roman"/>
          <w:b/>
          <w:sz w:val="24"/>
          <w:szCs w:val="24"/>
        </w:rPr>
        <w:t>4.Облікові політки  щодо активів Товариства</w:t>
      </w:r>
      <w:r w:rsidRPr="00CE67BA">
        <w:rPr>
          <w:rFonts w:ascii="Times New Roman" w:eastAsia="Times New Roman" w:hAnsi="Times New Roman"/>
          <w:b/>
          <w:i/>
          <w:sz w:val="24"/>
          <w:szCs w:val="24"/>
        </w:rPr>
        <w:t xml:space="preserve"> </w:t>
      </w:r>
    </w:p>
    <w:p w:rsidR="004664B8" w:rsidRPr="00CE67BA" w:rsidRDefault="004664B8" w:rsidP="004664B8">
      <w:pPr>
        <w:pStyle w:val="a3"/>
        <w:spacing w:after="0" w:line="240" w:lineRule="auto"/>
        <w:ind w:left="0" w:firstLine="709"/>
        <w:rPr>
          <w:rFonts w:ascii="Times New Roman" w:eastAsia="Times New Roman" w:hAnsi="Times New Roman"/>
          <w:b/>
          <w:sz w:val="24"/>
          <w:szCs w:val="24"/>
        </w:rPr>
      </w:pPr>
      <w:r w:rsidRPr="00CE67BA">
        <w:rPr>
          <w:rFonts w:ascii="Times New Roman" w:eastAsia="Times New Roman" w:hAnsi="Times New Roman"/>
          <w:b/>
          <w:sz w:val="24"/>
          <w:szCs w:val="24"/>
        </w:rPr>
        <w:t xml:space="preserve">5.Облікові політки  щодо </w:t>
      </w:r>
      <w:proofErr w:type="spellStart"/>
      <w:r w:rsidRPr="00CE67BA">
        <w:rPr>
          <w:rFonts w:ascii="Times New Roman" w:eastAsia="Times New Roman" w:hAnsi="Times New Roman"/>
          <w:b/>
          <w:sz w:val="24"/>
          <w:szCs w:val="24"/>
        </w:rPr>
        <w:t>зобов’язаньТовариства</w:t>
      </w:r>
      <w:proofErr w:type="spellEnd"/>
    </w:p>
    <w:p w:rsidR="004664B8" w:rsidRPr="00CE67BA" w:rsidRDefault="004664B8" w:rsidP="004664B8">
      <w:pPr>
        <w:pStyle w:val="a3"/>
        <w:spacing w:after="0" w:line="240" w:lineRule="auto"/>
        <w:ind w:left="0" w:firstLine="709"/>
        <w:rPr>
          <w:rFonts w:ascii="Times New Roman" w:eastAsia="Times New Roman" w:hAnsi="Times New Roman"/>
          <w:b/>
          <w:sz w:val="24"/>
          <w:szCs w:val="24"/>
        </w:rPr>
      </w:pPr>
      <w:r w:rsidRPr="00CE67BA">
        <w:rPr>
          <w:rFonts w:ascii="Times New Roman" w:eastAsia="Times New Roman" w:hAnsi="Times New Roman"/>
          <w:b/>
          <w:sz w:val="24"/>
          <w:szCs w:val="24"/>
        </w:rPr>
        <w:t>6.Облікові політки  щодо доходів Товариства</w:t>
      </w:r>
    </w:p>
    <w:p w:rsidR="004664B8" w:rsidRPr="00CE67BA" w:rsidRDefault="004664B8" w:rsidP="004664B8">
      <w:pPr>
        <w:pStyle w:val="a3"/>
        <w:spacing w:after="0" w:line="240" w:lineRule="auto"/>
        <w:ind w:left="0" w:firstLine="709"/>
        <w:rPr>
          <w:rFonts w:ascii="Times New Roman" w:eastAsia="Times New Roman" w:hAnsi="Times New Roman"/>
          <w:b/>
          <w:sz w:val="24"/>
          <w:szCs w:val="24"/>
        </w:rPr>
      </w:pPr>
      <w:r w:rsidRPr="00CE67BA">
        <w:rPr>
          <w:rFonts w:ascii="Times New Roman" w:eastAsia="Times New Roman" w:hAnsi="Times New Roman"/>
          <w:b/>
          <w:sz w:val="24"/>
          <w:szCs w:val="24"/>
        </w:rPr>
        <w:t>7.Облікові політки  щодо витрат Товариства</w:t>
      </w:r>
    </w:p>
    <w:p w:rsidR="004664B8" w:rsidRPr="00CE67BA" w:rsidRDefault="004664B8" w:rsidP="004664B8">
      <w:pPr>
        <w:pStyle w:val="a3"/>
        <w:spacing w:after="0" w:line="240" w:lineRule="auto"/>
        <w:ind w:left="0" w:firstLine="709"/>
        <w:rPr>
          <w:rFonts w:ascii="Times New Roman" w:eastAsia="Times New Roman" w:hAnsi="Times New Roman"/>
          <w:b/>
          <w:sz w:val="24"/>
          <w:szCs w:val="24"/>
        </w:rPr>
      </w:pPr>
      <w:r w:rsidRPr="00CE67BA">
        <w:rPr>
          <w:rFonts w:ascii="Times New Roman" w:eastAsia="Times New Roman" w:hAnsi="Times New Roman"/>
          <w:b/>
          <w:sz w:val="24"/>
          <w:szCs w:val="24"/>
        </w:rPr>
        <w:t xml:space="preserve">8.Інші застосовані облікові політики </w:t>
      </w:r>
    </w:p>
    <w:p w:rsidR="004664B8" w:rsidRPr="00CE67BA" w:rsidRDefault="004664B8" w:rsidP="004664B8">
      <w:pPr>
        <w:pStyle w:val="a3"/>
        <w:spacing w:after="0" w:line="240" w:lineRule="auto"/>
        <w:ind w:left="0" w:firstLine="709"/>
        <w:rPr>
          <w:rFonts w:ascii="Times New Roman" w:eastAsia="Times New Roman" w:hAnsi="Times New Roman"/>
          <w:b/>
          <w:sz w:val="24"/>
          <w:szCs w:val="24"/>
        </w:rPr>
      </w:pPr>
      <w:r w:rsidRPr="00CE67BA">
        <w:rPr>
          <w:rFonts w:ascii="Times New Roman" w:eastAsia="Times New Roman" w:hAnsi="Times New Roman"/>
          <w:b/>
          <w:sz w:val="24"/>
          <w:szCs w:val="24"/>
        </w:rPr>
        <w:t>9.Нові та переглянуті стандарти та інтерпретації;стандарти,які були випущені,але ще не вступили в силу</w:t>
      </w:r>
    </w:p>
    <w:p w:rsidR="004664B8" w:rsidRPr="00CE67BA" w:rsidRDefault="004664B8" w:rsidP="004664B8">
      <w:pPr>
        <w:pStyle w:val="a3"/>
        <w:spacing w:after="0" w:line="240" w:lineRule="auto"/>
        <w:ind w:left="0" w:firstLine="709"/>
        <w:rPr>
          <w:rFonts w:ascii="Times New Roman" w:hAnsi="Times New Roman"/>
          <w:b/>
          <w:sz w:val="24"/>
          <w:szCs w:val="24"/>
          <w:lang w:eastAsia="uk-UA"/>
        </w:rPr>
      </w:pPr>
      <w:r w:rsidRPr="00CE67BA">
        <w:rPr>
          <w:rFonts w:ascii="Times New Roman" w:hAnsi="Times New Roman"/>
          <w:b/>
          <w:sz w:val="24"/>
          <w:szCs w:val="24"/>
          <w:lang w:eastAsia="uk-UA"/>
        </w:rPr>
        <w:t>10. Основні бухгалтерські судження, оцінки та припущення.</w:t>
      </w:r>
    </w:p>
    <w:p w:rsidR="004664B8" w:rsidRPr="00CE67BA" w:rsidRDefault="004664B8" w:rsidP="004664B8">
      <w:pPr>
        <w:widowControl/>
        <w:spacing w:line="240" w:lineRule="auto"/>
        <w:ind w:firstLine="709"/>
        <w:rPr>
          <w:rFonts w:eastAsia="Times New Roman"/>
          <w:b/>
          <w:sz w:val="24"/>
          <w:szCs w:val="24"/>
          <w:lang w:eastAsia="uk-UA"/>
        </w:rPr>
      </w:pPr>
      <w:r w:rsidRPr="00CE67BA">
        <w:rPr>
          <w:rFonts w:eastAsia="Times New Roman"/>
          <w:b/>
          <w:sz w:val="24"/>
          <w:szCs w:val="24"/>
          <w:lang w:eastAsia="uk-UA"/>
        </w:rPr>
        <w:t>11.Розкриття інформації,що підтверджує статті,подані у звітності</w:t>
      </w:r>
    </w:p>
    <w:p w:rsidR="004664B8" w:rsidRPr="00CE67BA" w:rsidRDefault="004664B8" w:rsidP="004664B8">
      <w:pPr>
        <w:widowControl/>
        <w:spacing w:line="240" w:lineRule="auto"/>
        <w:ind w:firstLine="709"/>
        <w:rPr>
          <w:rFonts w:eastAsia="Times New Roman"/>
          <w:b/>
          <w:sz w:val="24"/>
          <w:szCs w:val="24"/>
          <w:lang w:eastAsia="uk-UA"/>
        </w:rPr>
      </w:pPr>
      <w:r w:rsidRPr="00CE67BA">
        <w:rPr>
          <w:rFonts w:eastAsia="Times New Roman"/>
          <w:b/>
          <w:sz w:val="24"/>
          <w:szCs w:val="24"/>
          <w:lang w:eastAsia="uk-UA"/>
        </w:rPr>
        <w:t>12.Розкриття іншої інформації</w:t>
      </w:r>
    </w:p>
    <w:p w:rsidR="004664B8" w:rsidRPr="00CE67BA" w:rsidRDefault="004664B8" w:rsidP="004664B8">
      <w:pPr>
        <w:widowControl/>
        <w:spacing w:line="240" w:lineRule="auto"/>
        <w:ind w:firstLine="709"/>
        <w:rPr>
          <w:rFonts w:eastAsia="Times New Roman"/>
          <w:b/>
          <w:sz w:val="24"/>
          <w:szCs w:val="24"/>
          <w:lang w:eastAsia="uk-UA"/>
        </w:rPr>
      </w:pPr>
      <w:r w:rsidRPr="00CE67BA">
        <w:rPr>
          <w:rFonts w:eastAsia="Times New Roman"/>
          <w:b/>
          <w:sz w:val="24"/>
          <w:szCs w:val="24"/>
          <w:lang w:eastAsia="uk-UA"/>
        </w:rPr>
        <w:t>13.Доходи/витрати</w:t>
      </w:r>
    </w:p>
    <w:p w:rsidR="004664B8" w:rsidRPr="00CE67BA" w:rsidRDefault="004664B8" w:rsidP="004664B8">
      <w:pPr>
        <w:widowControl/>
        <w:spacing w:line="240" w:lineRule="auto"/>
        <w:ind w:firstLine="709"/>
        <w:rPr>
          <w:rFonts w:eastAsia="Times New Roman"/>
          <w:b/>
          <w:sz w:val="24"/>
          <w:szCs w:val="24"/>
          <w:lang w:eastAsia="uk-UA"/>
        </w:rPr>
      </w:pPr>
      <w:r w:rsidRPr="00CE67BA">
        <w:rPr>
          <w:rFonts w:eastAsia="Times New Roman"/>
          <w:b/>
          <w:sz w:val="24"/>
          <w:szCs w:val="24"/>
          <w:lang w:eastAsia="uk-UA"/>
        </w:rPr>
        <w:t>14.Операції з пов`язаними сторонами</w:t>
      </w:r>
    </w:p>
    <w:p w:rsidR="004664B8" w:rsidRPr="00CE67BA" w:rsidRDefault="004664B8" w:rsidP="004664B8">
      <w:pPr>
        <w:widowControl/>
        <w:spacing w:line="240" w:lineRule="auto"/>
        <w:ind w:firstLine="709"/>
        <w:rPr>
          <w:rFonts w:eastAsia="Times New Roman"/>
          <w:b/>
          <w:sz w:val="24"/>
          <w:szCs w:val="24"/>
          <w:lang w:eastAsia="uk-UA"/>
        </w:rPr>
      </w:pPr>
      <w:r w:rsidRPr="00CE67BA">
        <w:rPr>
          <w:rFonts w:eastAsia="Times New Roman"/>
          <w:b/>
          <w:sz w:val="24"/>
          <w:szCs w:val="24"/>
          <w:lang w:eastAsia="uk-UA"/>
        </w:rPr>
        <w:t>15.Ризики</w:t>
      </w:r>
    </w:p>
    <w:p w:rsidR="004664B8" w:rsidRPr="00CE67BA" w:rsidRDefault="004664B8" w:rsidP="004664B8">
      <w:pPr>
        <w:widowControl/>
        <w:tabs>
          <w:tab w:val="left" w:pos="709"/>
        </w:tabs>
        <w:spacing w:line="240" w:lineRule="auto"/>
        <w:ind w:firstLine="0"/>
        <w:rPr>
          <w:rFonts w:eastAsia="Times New Roman"/>
          <w:b/>
          <w:sz w:val="24"/>
          <w:szCs w:val="24"/>
          <w:lang w:eastAsia="uk-UA"/>
        </w:rPr>
      </w:pPr>
      <w:r w:rsidRPr="00CE67BA">
        <w:rPr>
          <w:rFonts w:eastAsia="Times New Roman"/>
          <w:b/>
          <w:sz w:val="24"/>
          <w:szCs w:val="24"/>
          <w:lang w:eastAsia="uk-UA"/>
        </w:rPr>
        <w:t xml:space="preserve">           16. Події після дати балансу.</w:t>
      </w:r>
    </w:p>
    <w:p w:rsidR="004A4DEF" w:rsidRPr="00CE67BA" w:rsidRDefault="004A4DEF" w:rsidP="004A4DEF">
      <w:pPr>
        <w:widowControl/>
        <w:spacing w:line="240" w:lineRule="auto"/>
        <w:ind w:firstLine="0"/>
        <w:rPr>
          <w:b/>
          <w:sz w:val="24"/>
          <w:szCs w:val="24"/>
          <w:lang w:eastAsia="uk-UA"/>
        </w:rPr>
      </w:pPr>
    </w:p>
    <w:p w:rsidR="00310F2E" w:rsidRPr="00CE67BA" w:rsidRDefault="00310F2E" w:rsidP="00185AA1">
      <w:pPr>
        <w:widowControl/>
        <w:spacing w:line="240" w:lineRule="auto"/>
        <w:ind w:firstLine="0"/>
        <w:rPr>
          <w:rFonts w:eastAsia="Times New Roman"/>
          <w:b/>
          <w:sz w:val="24"/>
          <w:szCs w:val="24"/>
          <w:lang w:eastAsia="uk-UA"/>
        </w:rPr>
      </w:pPr>
    </w:p>
    <w:p w:rsidR="00AC256C" w:rsidRPr="00CE67BA" w:rsidRDefault="00AC256C" w:rsidP="007B7B88">
      <w:pPr>
        <w:pStyle w:val="a3"/>
        <w:numPr>
          <w:ilvl w:val="0"/>
          <w:numId w:val="1"/>
        </w:numPr>
        <w:spacing w:after="0" w:line="240" w:lineRule="auto"/>
        <w:ind w:left="708"/>
        <w:rPr>
          <w:rFonts w:ascii="Times New Roman" w:hAnsi="Times New Roman"/>
          <w:sz w:val="24"/>
          <w:szCs w:val="24"/>
          <w:lang w:eastAsia="uk-UA"/>
        </w:rPr>
      </w:pPr>
      <w:bookmarkStart w:id="0" w:name="OLE_LINK3"/>
      <w:bookmarkStart w:id="1" w:name="OLE_LINK4"/>
      <w:bookmarkStart w:id="2" w:name="OLE_LINK5"/>
      <w:r w:rsidRPr="00CE67BA">
        <w:rPr>
          <w:rFonts w:ascii="Times New Roman" w:hAnsi="Times New Roman"/>
          <w:b/>
          <w:sz w:val="24"/>
          <w:szCs w:val="24"/>
          <w:lang w:eastAsia="uk-UA"/>
        </w:rPr>
        <w:t xml:space="preserve">Інформація про Товариство </w:t>
      </w:r>
      <w:bookmarkEnd w:id="0"/>
      <w:bookmarkEnd w:id="1"/>
      <w:bookmarkEnd w:id="2"/>
    </w:p>
    <w:p w:rsidR="00AC256C" w:rsidRPr="00CE67BA" w:rsidRDefault="005302EA" w:rsidP="00AC4423">
      <w:pPr>
        <w:widowControl/>
        <w:spacing w:line="240" w:lineRule="auto"/>
        <w:ind w:firstLine="0"/>
        <w:rPr>
          <w:rFonts w:eastAsia="Times New Roman"/>
          <w:sz w:val="24"/>
          <w:szCs w:val="24"/>
          <w:lang w:eastAsia="uk-UA"/>
        </w:rPr>
      </w:pPr>
      <w:r w:rsidRPr="00CE67BA">
        <w:rPr>
          <w:rFonts w:eastAsia="Times New Roman"/>
          <w:b/>
          <w:sz w:val="24"/>
          <w:szCs w:val="24"/>
          <w:lang w:eastAsia="uk-UA"/>
        </w:rPr>
        <w:t>Товариство з обмеженою відповідальністю «Фінансова Компанія«</w:t>
      </w:r>
      <w:proofErr w:type="spellStart"/>
      <w:r w:rsidRPr="00CE67BA">
        <w:rPr>
          <w:rFonts w:eastAsia="Times New Roman"/>
          <w:b/>
          <w:sz w:val="24"/>
          <w:szCs w:val="24"/>
          <w:lang w:eastAsia="uk-UA"/>
        </w:rPr>
        <w:t>Преміум</w:t>
      </w:r>
      <w:proofErr w:type="spellEnd"/>
      <w:r w:rsidRPr="00CE67BA">
        <w:rPr>
          <w:rFonts w:eastAsia="Times New Roman"/>
          <w:b/>
          <w:sz w:val="24"/>
          <w:szCs w:val="24"/>
          <w:lang w:eastAsia="uk-UA"/>
        </w:rPr>
        <w:t xml:space="preserve"> </w:t>
      </w:r>
      <w:proofErr w:type="spellStart"/>
      <w:r w:rsidRPr="00CE67BA">
        <w:rPr>
          <w:rFonts w:eastAsia="Times New Roman"/>
          <w:b/>
          <w:sz w:val="24"/>
          <w:szCs w:val="24"/>
          <w:lang w:eastAsia="uk-UA"/>
        </w:rPr>
        <w:t>Кепітал</w:t>
      </w:r>
      <w:proofErr w:type="spellEnd"/>
      <w:r w:rsidRPr="00CE67BA">
        <w:rPr>
          <w:rFonts w:eastAsia="Times New Roman"/>
          <w:b/>
          <w:sz w:val="24"/>
          <w:szCs w:val="24"/>
          <w:lang w:eastAsia="uk-UA"/>
        </w:rPr>
        <w:t xml:space="preserve"> Груп» .</w:t>
      </w:r>
      <w:r w:rsidR="00AC4423" w:rsidRPr="00CE67BA">
        <w:rPr>
          <w:rFonts w:eastAsia="Times New Roman"/>
          <w:sz w:val="24"/>
          <w:szCs w:val="24"/>
          <w:lang w:eastAsia="uk-UA"/>
        </w:rPr>
        <w:t xml:space="preserve"> </w:t>
      </w:r>
      <w:r w:rsidR="00AC256C" w:rsidRPr="00CE67BA">
        <w:rPr>
          <w:rFonts w:eastAsia="Times New Roman"/>
          <w:sz w:val="24"/>
          <w:szCs w:val="24"/>
          <w:lang w:eastAsia="uk-UA"/>
        </w:rPr>
        <w:t xml:space="preserve">(код ЄДРПОУ </w:t>
      </w:r>
      <w:r w:rsidRPr="00CE67BA">
        <w:rPr>
          <w:rFonts w:eastAsia="Times New Roman"/>
          <w:sz w:val="24"/>
          <w:szCs w:val="24"/>
          <w:lang w:eastAsia="uk-UA"/>
        </w:rPr>
        <w:t>40937865</w:t>
      </w:r>
      <w:r w:rsidR="00AC256C" w:rsidRPr="00CE67BA">
        <w:rPr>
          <w:rFonts w:eastAsia="Times New Roman"/>
          <w:sz w:val="24"/>
          <w:szCs w:val="24"/>
          <w:lang w:eastAsia="uk-UA"/>
        </w:rPr>
        <w:t xml:space="preserve">, надалі - Товариство) створено відповідно до чинного законодавства з метою реалізації економічних, соціальних, професійних і немайнових інтересів Учасників та працівників Товариства. </w:t>
      </w:r>
    </w:p>
    <w:p w:rsidR="00AC256C" w:rsidRPr="00CE67BA" w:rsidRDefault="00AC256C" w:rsidP="00F35D1C">
      <w:pPr>
        <w:widowControl/>
        <w:numPr>
          <w:ilvl w:val="0"/>
          <w:numId w:val="5"/>
        </w:numPr>
        <w:spacing w:line="240" w:lineRule="auto"/>
        <w:ind w:right="-1"/>
        <w:rPr>
          <w:rFonts w:eastAsia="Times New Roman"/>
          <w:sz w:val="24"/>
          <w:szCs w:val="24"/>
          <w:lang w:eastAsia="uk-UA"/>
        </w:rPr>
      </w:pPr>
      <w:r w:rsidRPr="00CE67BA">
        <w:rPr>
          <w:rFonts w:eastAsia="Times New Roman"/>
          <w:sz w:val="24"/>
          <w:szCs w:val="24"/>
          <w:lang w:eastAsia="uk-UA"/>
        </w:rPr>
        <w:t>Місцезнаходження Товариства: 01</w:t>
      </w:r>
      <w:r w:rsidR="00AC4423" w:rsidRPr="00CE67BA">
        <w:rPr>
          <w:rFonts w:eastAsia="Times New Roman"/>
          <w:sz w:val="24"/>
          <w:szCs w:val="24"/>
          <w:lang w:eastAsia="uk-UA"/>
        </w:rPr>
        <w:t>133</w:t>
      </w:r>
      <w:r w:rsidRPr="00CE67BA">
        <w:rPr>
          <w:rFonts w:eastAsia="Times New Roman"/>
          <w:sz w:val="24"/>
          <w:szCs w:val="24"/>
          <w:lang w:eastAsia="uk-UA"/>
        </w:rPr>
        <w:t xml:space="preserve">, м. Київ, </w:t>
      </w:r>
      <w:r w:rsidR="00152421" w:rsidRPr="00CE67BA">
        <w:rPr>
          <w:rFonts w:eastAsia="Times New Roman"/>
          <w:sz w:val="24"/>
          <w:szCs w:val="24"/>
          <w:lang w:eastAsia="uk-UA"/>
        </w:rPr>
        <w:t>вул.</w:t>
      </w:r>
      <w:r w:rsidR="00B905A0" w:rsidRPr="00CE67BA">
        <w:rPr>
          <w:rFonts w:eastAsia="Times New Roman"/>
          <w:sz w:val="24"/>
          <w:szCs w:val="24"/>
          <w:lang w:eastAsia="uk-UA"/>
        </w:rPr>
        <w:t xml:space="preserve"> </w:t>
      </w:r>
      <w:r w:rsidR="00152421" w:rsidRPr="00CE67BA">
        <w:rPr>
          <w:rFonts w:eastAsia="Times New Roman"/>
          <w:sz w:val="24"/>
          <w:szCs w:val="24"/>
          <w:lang w:eastAsia="uk-UA"/>
        </w:rPr>
        <w:t>Кутузова</w:t>
      </w:r>
      <w:r w:rsidR="00B905A0" w:rsidRPr="00CE67BA">
        <w:rPr>
          <w:rFonts w:eastAsia="Times New Roman"/>
          <w:sz w:val="24"/>
          <w:szCs w:val="24"/>
          <w:lang w:eastAsia="uk-UA"/>
        </w:rPr>
        <w:t xml:space="preserve"> </w:t>
      </w:r>
      <w:r w:rsidRPr="00CE67BA">
        <w:rPr>
          <w:rFonts w:eastAsia="Times New Roman"/>
          <w:sz w:val="24"/>
          <w:szCs w:val="24"/>
          <w:lang w:eastAsia="uk-UA"/>
        </w:rPr>
        <w:t xml:space="preserve">, будинок </w:t>
      </w:r>
      <w:r w:rsidR="00152421" w:rsidRPr="00CE67BA">
        <w:rPr>
          <w:rFonts w:eastAsia="Times New Roman"/>
          <w:sz w:val="24"/>
          <w:szCs w:val="24"/>
          <w:lang w:eastAsia="uk-UA"/>
        </w:rPr>
        <w:t>18/7</w:t>
      </w:r>
    </w:p>
    <w:p w:rsidR="00AC256C" w:rsidRPr="00CE67BA" w:rsidRDefault="00AC256C" w:rsidP="00F35D1C">
      <w:pPr>
        <w:widowControl/>
        <w:numPr>
          <w:ilvl w:val="0"/>
          <w:numId w:val="5"/>
        </w:numPr>
        <w:spacing w:line="240" w:lineRule="auto"/>
        <w:ind w:right="-1"/>
        <w:rPr>
          <w:rFonts w:eastAsia="Times New Roman"/>
          <w:sz w:val="24"/>
          <w:szCs w:val="24"/>
          <w:lang w:eastAsia="uk-UA"/>
        </w:rPr>
      </w:pPr>
      <w:r w:rsidRPr="00CE67BA">
        <w:rPr>
          <w:rFonts w:eastAsia="Times New Roman"/>
          <w:sz w:val="24"/>
          <w:szCs w:val="24"/>
          <w:lang w:eastAsia="uk-UA"/>
        </w:rPr>
        <w:t xml:space="preserve">Організаційно-правова форма Товариства: </w:t>
      </w:r>
      <w:r w:rsidR="00AC4423" w:rsidRPr="00CE67BA">
        <w:rPr>
          <w:rFonts w:eastAsia="Times New Roman"/>
          <w:sz w:val="24"/>
          <w:szCs w:val="24"/>
          <w:lang w:eastAsia="uk-UA"/>
        </w:rPr>
        <w:t>Товариство з обмеженою відповідальністю</w:t>
      </w:r>
      <w:r w:rsidRPr="00CE67BA">
        <w:rPr>
          <w:rFonts w:eastAsia="Times New Roman"/>
          <w:sz w:val="24"/>
          <w:szCs w:val="24"/>
          <w:lang w:eastAsia="uk-UA"/>
        </w:rPr>
        <w:t xml:space="preserve">. </w:t>
      </w:r>
    </w:p>
    <w:p w:rsidR="00AC256C" w:rsidRPr="00CE67BA" w:rsidRDefault="00AC256C" w:rsidP="00577CAA">
      <w:pPr>
        <w:widowControl/>
        <w:numPr>
          <w:ilvl w:val="0"/>
          <w:numId w:val="5"/>
        </w:numPr>
        <w:spacing w:line="240" w:lineRule="auto"/>
        <w:ind w:right="-1"/>
        <w:rPr>
          <w:rFonts w:eastAsia="Times New Roman"/>
          <w:sz w:val="24"/>
          <w:szCs w:val="24"/>
          <w:lang w:eastAsia="uk-UA"/>
        </w:rPr>
      </w:pPr>
      <w:r w:rsidRPr="00CE67BA">
        <w:rPr>
          <w:rFonts w:eastAsia="Times New Roman"/>
          <w:sz w:val="24"/>
          <w:szCs w:val="24"/>
          <w:lang w:eastAsia="uk-UA"/>
        </w:rPr>
        <w:t xml:space="preserve">Розмір зареєстрованого статутного капіталу : </w:t>
      </w:r>
      <w:r w:rsidR="00152421" w:rsidRPr="00CE67BA">
        <w:rPr>
          <w:rFonts w:eastAsia="Times New Roman"/>
          <w:sz w:val="24"/>
          <w:szCs w:val="24"/>
          <w:lang w:eastAsia="uk-UA"/>
        </w:rPr>
        <w:t>5 200 000,00</w:t>
      </w:r>
      <w:r w:rsidRPr="00CE67BA">
        <w:rPr>
          <w:rFonts w:eastAsia="Times New Roman"/>
          <w:sz w:val="24"/>
          <w:szCs w:val="24"/>
          <w:lang w:eastAsia="uk-UA"/>
        </w:rPr>
        <w:t xml:space="preserve">  грн. </w:t>
      </w:r>
    </w:p>
    <w:p w:rsidR="00AC256C" w:rsidRPr="00CE67BA" w:rsidRDefault="00AC256C" w:rsidP="00577CAA">
      <w:pPr>
        <w:widowControl/>
        <w:spacing w:line="240" w:lineRule="auto"/>
        <w:ind w:right="-1" w:firstLine="0"/>
        <w:rPr>
          <w:rFonts w:eastAsia="Times New Roman"/>
          <w:sz w:val="24"/>
          <w:szCs w:val="24"/>
          <w:lang w:eastAsia="uk-UA"/>
        </w:rPr>
      </w:pPr>
      <w:bookmarkStart w:id="3" w:name="OLE_LINK35"/>
      <w:bookmarkStart w:id="4" w:name="OLE_LINK34"/>
      <w:bookmarkStart w:id="5" w:name="OLE_LINK33"/>
      <w:bookmarkEnd w:id="3"/>
      <w:bookmarkEnd w:id="4"/>
      <w:r w:rsidRPr="00CE67BA">
        <w:rPr>
          <w:rFonts w:eastAsia="Times New Roman"/>
          <w:sz w:val="24"/>
          <w:szCs w:val="24"/>
          <w:lang w:eastAsia="uk-UA"/>
        </w:rPr>
        <w:t>Учасниками Товариства є:</w:t>
      </w:r>
      <w:bookmarkEnd w:id="5"/>
    </w:p>
    <w:p w:rsidR="00AC4423" w:rsidRPr="00CE67BA" w:rsidRDefault="00152421" w:rsidP="00152421">
      <w:pPr>
        <w:tabs>
          <w:tab w:val="left" w:pos="-3060"/>
        </w:tabs>
        <w:ind w:firstLine="567"/>
        <w:rPr>
          <w:b/>
          <w:iCs/>
          <w:snapToGrid w:val="0"/>
          <w:sz w:val="24"/>
          <w:szCs w:val="24"/>
        </w:rPr>
      </w:pPr>
      <w:r w:rsidRPr="00CE67BA">
        <w:rPr>
          <w:b/>
          <w:iCs/>
          <w:snapToGrid w:val="0"/>
          <w:sz w:val="24"/>
          <w:szCs w:val="24"/>
        </w:rPr>
        <w:t>Рожков Володимир Леонідович</w:t>
      </w:r>
      <w:r w:rsidRPr="00CE67BA">
        <w:rPr>
          <w:sz w:val="22"/>
          <w:szCs w:val="22"/>
        </w:rPr>
        <w:t xml:space="preserve"> </w:t>
      </w:r>
    </w:p>
    <w:p w:rsidR="00BC5641" w:rsidRPr="00CE67BA" w:rsidRDefault="00152421" w:rsidP="00AC4423">
      <w:pPr>
        <w:pStyle w:val="ac"/>
        <w:numPr>
          <w:ilvl w:val="0"/>
          <w:numId w:val="7"/>
        </w:numPr>
        <w:rPr>
          <w:rFonts w:ascii="Times New Roman" w:hAnsi="Times New Roman"/>
          <w:iCs/>
          <w:sz w:val="24"/>
          <w:szCs w:val="24"/>
          <w:lang w:val="uk-UA"/>
        </w:rPr>
      </w:pPr>
      <w:r w:rsidRPr="00CE67BA">
        <w:rPr>
          <w:rFonts w:ascii="Times New Roman" w:hAnsi="Times New Roman"/>
          <w:iCs/>
          <w:snapToGrid w:val="0"/>
          <w:lang w:val="uk-UA" w:eastAsia="ru-RU"/>
        </w:rPr>
        <w:t>Який мешкає в м.  Києві ,вул..Малиновського 27/23 кв.442,</w:t>
      </w:r>
      <w:r w:rsidR="00BC5641" w:rsidRPr="00CE67BA">
        <w:rPr>
          <w:rFonts w:ascii="Times New Roman" w:hAnsi="Times New Roman"/>
          <w:iCs/>
          <w:sz w:val="24"/>
          <w:szCs w:val="24"/>
          <w:lang w:val="uk-UA"/>
        </w:rPr>
        <w:t xml:space="preserve"> </w:t>
      </w:r>
      <w:r w:rsidR="00BC5641" w:rsidRPr="00CE67BA">
        <w:rPr>
          <w:rFonts w:ascii="Times New Roman" w:hAnsi="Times New Roman"/>
          <w:sz w:val="24"/>
          <w:szCs w:val="24"/>
          <w:lang w:val="uk-UA"/>
        </w:rPr>
        <w:t xml:space="preserve">володіє  </w:t>
      </w:r>
      <w:r w:rsidR="00B905A0" w:rsidRPr="00CE67BA">
        <w:rPr>
          <w:rFonts w:ascii="Times New Roman" w:hAnsi="Times New Roman"/>
          <w:sz w:val="24"/>
          <w:szCs w:val="24"/>
          <w:lang w:val="uk-UA"/>
        </w:rPr>
        <w:t>1</w:t>
      </w:r>
      <w:r w:rsidRPr="00CE67BA">
        <w:rPr>
          <w:rFonts w:ascii="Times New Roman" w:hAnsi="Times New Roman"/>
          <w:sz w:val="24"/>
          <w:szCs w:val="24"/>
          <w:lang w:val="uk-UA"/>
        </w:rPr>
        <w:t>0</w:t>
      </w:r>
      <w:r w:rsidR="00BC5641" w:rsidRPr="00CE67BA">
        <w:rPr>
          <w:rFonts w:ascii="Times New Roman" w:hAnsi="Times New Roman"/>
          <w:sz w:val="24"/>
          <w:szCs w:val="24"/>
          <w:lang w:val="uk-UA"/>
        </w:rPr>
        <w:t>0 % Статутного капіталу Товариства.</w:t>
      </w:r>
    </w:p>
    <w:p w:rsidR="00AC256C" w:rsidRPr="00CE67BA" w:rsidRDefault="00AC256C" w:rsidP="00577CAA">
      <w:pPr>
        <w:widowControl/>
        <w:spacing w:line="240" w:lineRule="auto"/>
        <w:ind w:right="-1" w:firstLine="0"/>
        <w:rPr>
          <w:rFonts w:eastAsia="Times New Roman"/>
          <w:sz w:val="24"/>
          <w:szCs w:val="24"/>
          <w:lang w:eastAsia="uk-UA"/>
        </w:rPr>
      </w:pPr>
      <w:r w:rsidRPr="00CE67BA">
        <w:rPr>
          <w:rFonts w:eastAsia="Times New Roman"/>
          <w:sz w:val="24"/>
          <w:szCs w:val="24"/>
          <w:lang w:eastAsia="uk-UA"/>
        </w:rPr>
        <w:t>Товариство має  своїми основними цілями отримання прибутку від надання фінансових послуг. Предметом діяльності Товариства є:</w:t>
      </w:r>
    </w:p>
    <w:p w:rsidR="00AC256C" w:rsidRPr="00CE67BA" w:rsidRDefault="00AC256C" w:rsidP="00577CAA">
      <w:pPr>
        <w:widowControl/>
        <w:numPr>
          <w:ilvl w:val="0"/>
          <w:numId w:val="6"/>
        </w:numPr>
        <w:spacing w:line="240" w:lineRule="auto"/>
        <w:ind w:right="-1"/>
        <w:rPr>
          <w:rFonts w:eastAsia="Times New Roman"/>
          <w:sz w:val="24"/>
          <w:szCs w:val="24"/>
          <w:lang w:eastAsia="uk-UA"/>
        </w:rPr>
      </w:pPr>
      <w:r w:rsidRPr="00CE67BA">
        <w:rPr>
          <w:rFonts w:eastAsia="Times New Roman"/>
          <w:sz w:val="24"/>
          <w:szCs w:val="24"/>
          <w:lang w:eastAsia="uk-UA"/>
        </w:rPr>
        <w:t xml:space="preserve">надання інших фінансових послуг (крім страхування та пенсійного забезпечення), </w:t>
      </w:r>
      <w:proofErr w:type="spellStart"/>
      <w:r w:rsidRPr="00CE67BA">
        <w:rPr>
          <w:rFonts w:eastAsia="Times New Roman"/>
          <w:sz w:val="24"/>
          <w:szCs w:val="24"/>
          <w:lang w:eastAsia="uk-UA"/>
        </w:rPr>
        <w:t>н.в.і.у</w:t>
      </w:r>
      <w:proofErr w:type="spellEnd"/>
      <w:r w:rsidRPr="00CE67BA">
        <w:rPr>
          <w:rFonts w:eastAsia="Times New Roman"/>
          <w:sz w:val="24"/>
          <w:szCs w:val="24"/>
          <w:lang w:eastAsia="uk-UA"/>
        </w:rPr>
        <w:t>.</w:t>
      </w:r>
    </w:p>
    <w:p w:rsidR="00AC256C" w:rsidRPr="00CE67BA" w:rsidRDefault="00AC256C" w:rsidP="00577CAA">
      <w:pPr>
        <w:widowControl/>
        <w:numPr>
          <w:ilvl w:val="0"/>
          <w:numId w:val="6"/>
        </w:numPr>
        <w:spacing w:line="240" w:lineRule="auto"/>
        <w:ind w:right="-1"/>
        <w:rPr>
          <w:rFonts w:eastAsia="Times New Roman"/>
          <w:sz w:val="24"/>
          <w:szCs w:val="24"/>
          <w:lang w:eastAsia="uk-UA"/>
        </w:rPr>
      </w:pPr>
      <w:r w:rsidRPr="00CE67BA">
        <w:rPr>
          <w:rFonts w:eastAsia="Times New Roman"/>
          <w:sz w:val="24"/>
          <w:szCs w:val="24"/>
          <w:lang w:eastAsia="uk-UA"/>
        </w:rPr>
        <w:t>інші види кредитування.</w:t>
      </w:r>
    </w:p>
    <w:p w:rsidR="00AC256C" w:rsidRPr="00CE67BA" w:rsidRDefault="00AC256C" w:rsidP="004F0094">
      <w:pPr>
        <w:widowControl/>
        <w:spacing w:line="240" w:lineRule="auto"/>
        <w:ind w:right="-1" w:firstLine="0"/>
        <w:rPr>
          <w:rFonts w:eastAsia="Times New Roman"/>
          <w:sz w:val="24"/>
          <w:szCs w:val="24"/>
          <w:lang w:eastAsia="uk-UA"/>
        </w:rPr>
      </w:pPr>
      <w:r w:rsidRPr="00CE67BA">
        <w:rPr>
          <w:rFonts w:eastAsia="Times New Roman"/>
          <w:sz w:val="24"/>
          <w:szCs w:val="24"/>
          <w:lang w:eastAsia="uk-UA"/>
        </w:rPr>
        <w:t xml:space="preserve">Середня кількість працівників Товариства протягом звітного року складає </w:t>
      </w:r>
      <w:r w:rsidR="00152421" w:rsidRPr="00CE67BA">
        <w:rPr>
          <w:rFonts w:eastAsia="Times New Roman"/>
          <w:sz w:val="24"/>
          <w:szCs w:val="24"/>
          <w:lang w:val="ru-RU" w:eastAsia="uk-UA"/>
        </w:rPr>
        <w:t>1</w:t>
      </w:r>
      <w:r w:rsidRPr="00CE67BA">
        <w:rPr>
          <w:rFonts w:eastAsia="Times New Roman"/>
          <w:sz w:val="24"/>
          <w:szCs w:val="24"/>
          <w:lang w:eastAsia="uk-UA"/>
        </w:rPr>
        <w:t xml:space="preserve"> чоловік.</w:t>
      </w:r>
    </w:p>
    <w:p w:rsidR="00AC256C" w:rsidRPr="00CE67BA" w:rsidRDefault="00AC256C" w:rsidP="0042452D">
      <w:pPr>
        <w:widowControl/>
        <w:spacing w:line="240" w:lineRule="auto"/>
        <w:ind w:firstLine="0"/>
        <w:rPr>
          <w:rFonts w:eastAsia="Times New Roman"/>
          <w:sz w:val="24"/>
          <w:szCs w:val="24"/>
          <w:lang w:eastAsia="uk-UA"/>
        </w:rPr>
      </w:pPr>
      <w:r w:rsidRPr="00CE67BA">
        <w:rPr>
          <w:rFonts w:eastAsia="Times New Roman"/>
          <w:sz w:val="24"/>
          <w:szCs w:val="24"/>
          <w:lang w:eastAsia="uk-UA"/>
        </w:rPr>
        <w:t xml:space="preserve">Товариство </w:t>
      </w:r>
      <w:r w:rsidR="00AC4423" w:rsidRPr="00CE67BA">
        <w:rPr>
          <w:rFonts w:eastAsia="Times New Roman"/>
          <w:sz w:val="24"/>
          <w:szCs w:val="24"/>
          <w:lang w:eastAsia="uk-UA"/>
        </w:rPr>
        <w:t>не</w:t>
      </w:r>
      <w:r w:rsidRPr="00CE67BA">
        <w:rPr>
          <w:rFonts w:eastAsia="Times New Roman"/>
          <w:sz w:val="24"/>
          <w:szCs w:val="24"/>
          <w:lang w:eastAsia="uk-UA"/>
        </w:rPr>
        <w:t xml:space="preserve"> має   філії.</w:t>
      </w:r>
    </w:p>
    <w:p w:rsidR="00AC256C" w:rsidRPr="00CE67BA" w:rsidRDefault="00AC256C" w:rsidP="0042452D">
      <w:pPr>
        <w:pStyle w:val="a3"/>
        <w:spacing w:after="0" w:line="240" w:lineRule="auto"/>
        <w:ind w:left="0" w:right="-1"/>
        <w:rPr>
          <w:rFonts w:ascii="Times New Roman" w:hAnsi="Times New Roman"/>
          <w:sz w:val="24"/>
          <w:szCs w:val="24"/>
          <w:lang w:eastAsia="uk-UA"/>
        </w:rPr>
      </w:pPr>
      <w:r w:rsidRPr="00CE67BA">
        <w:rPr>
          <w:rFonts w:ascii="Times New Roman" w:hAnsi="Times New Roman"/>
          <w:sz w:val="24"/>
          <w:szCs w:val="24"/>
          <w:lang w:eastAsia="uk-UA"/>
        </w:rPr>
        <w:t xml:space="preserve">Економічне середовище, в якому Товариство проводить свою діяльність, є нестабільним, що пов’язано з політичною та економічною кризою в країні в цілому. </w:t>
      </w:r>
    </w:p>
    <w:p w:rsidR="004664B8" w:rsidRPr="00CE67BA" w:rsidRDefault="004664B8" w:rsidP="0042452D">
      <w:pPr>
        <w:pStyle w:val="a3"/>
        <w:spacing w:after="0" w:line="240" w:lineRule="auto"/>
        <w:ind w:left="0" w:right="-1"/>
        <w:rPr>
          <w:rFonts w:ascii="Times New Roman" w:hAnsi="Times New Roman"/>
          <w:sz w:val="24"/>
          <w:szCs w:val="24"/>
          <w:lang w:eastAsia="uk-UA"/>
        </w:rPr>
      </w:pPr>
    </w:p>
    <w:p w:rsidR="004664B8" w:rsidRPr="00CE67BA" w:rsidRDefault="004664B8" w:rsidP="004664B8">
      <w:pPr>
        <w:spacing w:line="240" w:lineRule="auto"/>
        <w:ind w:firstLine="360"/>
        <w:rPr>
          <w:rFonts w:eastAsia="Times New Roman"/>
          <w:b/>
          <w:sz w:val="24"/>
          <w:szCs w:val="24"/>
        </w:rPr>
      </w:pPr>
      <w:r w:rsidRPr="00CE67BA">
        <w:rPr>
          <w:rFonts w:eastAsia="Times New Roman"/>
          <w:b/>
          <w:sz w:val="24"/>
          <w:szCs w:val="24"/>
        </w:rPr>
        <w:t>2. Основи підготовки, затвердження і подання фінансової звітності</w:t>
      </w:r>
    </w:p>
    <w:p w:rsidR="004664B8" w:rsidRPr="00CE67BA" w:rsidRDefault="004664B8" w:rsidP="004664B8">
      <w:pPr>
        <w:spacing w:line="240" w:lineRule="auto"/>
        <w:ind w:firstLine="360"/>
        <w:rPr>
          <w:rFonts w:eastAsia="Times New Roman"/>
          <w:b/>
          <w:sz w:val="24"/>
          <w:szCs w:val="24"/>
        </w:rPr>
      </w:pPr>
      <w:r w:rsidRPr="00CE67BA">
        <w:rPr>
          <w:rFonts w:eastAsia="Times New Roman"/>
          <w:b/>
          <w:sz w:val="24"/>
          <w:szCs w:val="24"/>
        </w:rPr>
        <w:t>2.1.  Ідентифікація фінансової звітності</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Фінансова звітність Товариства є фінансовою звітністю загального призначення, яка має </w:t>
      </w:r>
      <w:r w:rsidRPr="00CE67BA">
        <w:rPr>
          <w:rFonts w:eastAsia="Times New Roman"/>
          <w:sz w:val="24"/>
          <w:szCs w:val="24"/>
        </w:rPr>
        <w:lastRenderedPageBreak/>
        <w:t>на меті задовольнити потреби користувачів, які не можуть вимагати складати звітність згідно з їхніми інформаційними потребами. Метою фінансової звітності є надання інформації про фінансовий стан, фінансові результати діяльності та грошові потоки Товариства, яка є корисною для широкого кола користувачів у разі прийняття ними економічних рішень.</w:t>
      </w:r>
    </w:p>
    <w:p w:rsidR="004664B8" w:rsidRPr="00CE67BA" w:rsidRDefault="004664B8" w:rsidP="004664B8">
      <w:pPr>
        <w:spacing w:line="240" w:lineRule="auto"/>
        <w:ind w:firstLine="360"/>
        <w:rPr>
          <w:rFonts w:eastAsia="Times New Roman"/>
          <w:b/>
          <w:sz w:val="24"/>
          <w:szCs w:val="24"/>
        </w:rPr>
      </w:pPr>
      <w:bookmarkStart w:id="6" w:name="_Toc443403403"/>
      <w:r w:rsidRPr="00CE67BA">
        <w:rPr>
          <w:rFonts w:eastAsia="Times New Roman"/>
          <w:b/>
          <w:sz w:val="24"/>
          <w:szCs w:val="24"/>
        </w:rPr>
        <w:t>2.2. Валюта подання звітності та функціональна валюта, ступінь округлення</w:t>
      </w:r>
      <w:bookmarkEnd w:id="6"/>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Валюта подання звітності відповідає функціональній валюті, якою є українська гривня. Фінансова звітність складена у тисячах гривень, округлених до цілих тисяч.</w:t>
      </w:r>
    </w:p>
    <w:p w:rsidR="004664B8" w:rsidRPr="00CE67BA" w:rsidRDefault="004664B8" w:rsidP="004664B8">
      <w:pPr>
        <w:spacing w:line="240" w:lineRule="auto"/>
        <w:ind w:firstLine="360"/>
        <w:rPr>
          <w:rFonts w:eastAsia="Times New Roman"/>
          <w:b/>
          <w:sz w:val="24"/>
          <w:szCs w:val="24"/>
        </w:rPr>
      </w:pPr>
      <w:bookmarkStart w:id="7" w:name="_Toc443403404"/>
      <w:r w:rsidRPr="00CE67BA">
        <w:rPr>
          <w:rFonts w:eastAsia="Times New Roman"/>
          <w:b/>
          <w:sz w:val="24"/>
          <w:szCs w:val="24"/>
        </w:rPr>
        <w:t>2.3. Концептуальна основа фінансової звітності</w:t>
      </w:r>
      <w:bookmarkEnd w:id="7"/>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Концептуальною основою фінансової звітності  Товариства з обмеженою відповідальністю </w:t>
      </w:r>
      <w:r w:rsidRPr="00CE67BA">
        <w:rPr>
          <w:rFonts w:eastAsia="Times New Roman"/>
          <w:sz w:val="24"/>
          <w:szCs w:val="24"/>
          <w:lang w:eastAsia="uk-UA"/>
        </w:rPr>
        <w:t>«Фінансова компанія «</w:t>
      </w:r>
      <w:proofErr w:type="spellStart"/>
      <w:r w:rsidRPr="00CE67BA">
        <w:rPr>
          <w:rFonts w:eastAsia="Times New Roman"/>
          <w:sz w:val="24"/>
          <w:szCs w:val="24"/>
          <w:lang w:eastAsia="uk-UA"/>
        </w:rPr>
        <w:t>Преміум</w:t>
      </w:r>
      <w:proofErr w:type="spellEnd"/>
      <w:r w:rsidRPr="00CE67BA">
        <w:rPr>
          <w:rFonts w:eastAsia="Times New Roman"/>
          <w:sz w:val="24"/>
          <w:szCs w:val="24"/>
          <w:lang w:eastAsia="uk-UA"/>
        </w:rPr>
        <w:t xml:space="preserve"> </w:t>
      </w:r>
      <w:proofErr w:type="spellStart"/>
      <w:r w:rsidRPr="00CE67BA">
        <w:rPr>
          <w:rFonts w:eastAsia="Times New Roman"/>
          <w:sz w:val="24"/>
          <w:szCs w:val="24"/>
          <w:lang w:eastAsia="uk-UA"/>
        </w:rPr>
        <w:t>Кепітал</w:t>
      </w:r>
      <w:proofErr w:type="spellEnd"/>
      <w:r w:rsidRPr="00CE67BA">
        <w:rPr>
          <w:rFonts w:eastAsia="Times New Roman"/>
          <w:sz w:val="24"/>
          <w:szCs w:val="24"/>
          <w:lang w:eastAsia="uk-UA"/>
        </w:rPr>
        <w:t xml:space="preserve"> Груп» </w:t>
      </w:r>
      <w:r w:rsidRPr="00CE67BA">
        <w:rPr>
          <w:rFonts w:eastAsia="Times New Roman"/>
          <w:sz w:val="24"/>
          <w:szCs w:val="24"/>
        </w:rPr>
        <w:t xml:space="preserve"> за 2016 рік є Міжнародні стандарти фінансової звітності в редакції, затвердженій Радою з Міжнародних стандартів фінансової звітності. Також застосовані всі інтерпретації Комітету з інтерпретацій міжнародної фінансової звітності, обов'язкові для 2016-го фінансового року.</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Формат фінансових звітів представлений з урахуванням вимог Міністерства фінансів України, що затверджує форми фінансових звітів в Україні. Статті фінансової звітності за МСФЗ вписані в найбільш доречні рядки форм фінансових звітів, затверджених Міністерством фінансів України. Зміст рядків конкретизовано у Примітках. Рядки не містять посилань на відповідні Примітки, тому що це не передбачено формами. </w:t>
      </w:r>
    </w:p>
    <w:p w:rsidR="004664B8" w:rsidRPr="00CE67BA" w:rsidRDefault="004664B8" w:rsidP="004664B8">
      <w:pPr>
        <w:spacing w:line="240" w:lineRule="auto"/>
        <w:ind w:firstLine="360"/>
        <w:rPr>
          <w:rFonts w:eastAsia="Times New Roman"/>
          <w:b/>
          <w:sz w:val="24"/>
          <w:szCs w:val="24"/>
        </w:rPr>
      </w:pPr>
      <w:r w:rsidRPr="00CE67BA">
        <w:rPr>
          <w:rFonts w:eastAsia="Times New Roman"/>
          <w:b/>
          <w:sz w:val="24"/>
          <w:szCs w:val="24"/>
        </w:rPr>
        <w:t>2.4. Припущення про безперервність діяльності</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Ця фінансова звітність була підготовлена на основі припущення про безперервність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Товариство не могло продовжити провадження фінансово-господарської діяльності відповідно до принципів безперервності діяльності.</w:t>
      </w:r>
    </w:p>
    <w:p w:rsidR="004664B8" w:rsidRPr="00CE67BA" w:rsidRDefault="004664B8" w:rsidP="004664B8">
      <w:pPr>
        <w:spacing w:line="240" w:lineRule="auto"/>
        <w:ind w:firstLine="360"/>
        <w:rPr>
          <w:rFonts w:eastAsia="Times New Roman"/>
          <w:b/>
          <w:sz w:val="24"/>
          <w:szCs w:val="24"/>
        </w:rPr>
      </w:pPr>
      <w:bookmarkStart w:id="8" w:name="_Toc443403406"/>
      <w:r w:rsidRPr="00CE67BA">
        <w:rPr>
          <w:rFonts w:eastAsia="Times New Roman"/>
          <w:b/>
          <w:sz w:val="24"/>
          <w:szCs w:val="24"/>
        </w:rPr>
        <w:t>2.5. Рішення про затвердження фінансової звітності</w:t>
      </w:r>
      <w:bookmarkEnd w:id="8"/>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Фінансова звітність Товариства з обмеженою відповідальністю </w:t>
      </w:r>
      <w:r w:rsidRPr="00CE67BA">
        <w:rPr>
          <w:rFonts w:eastAsia="Times New Roman"/>
          <w:sz w:val="24"/>
          <w:szCs w:val="24"/>
          <w:lang w:eastAsia="uk-UA"/>
        </w:rPr>
        <w:t>«Фінансова компанія «</w:t>
      </w:r>
      <w:proofErr w:type="spellStart"/>
      <w:r w:rsidRPr="00CE67BA">
        <w:rPr>
          <w:rFonts w:eastAsia="Times New Roman"/>
          <w:sz w:val="24"/>
          <w:szCs w:val="24"/>
          <w:lang w:eastAsia="uk-UA"/>
        </w:rPr>
        <w:t>Преміум</w:t>
      </w:r>
      <w:proofErr w:type="spellEnd"/>
      <w:r w:rsidRPr="00CE67BA">
        <w:rPr>
          <w:rFonts w:eastAsia="Times New Roman"/>
          <w:sz w:val="24"/>
          <w:szCs w:val="24"/>
          <w:lang w:eastAsia="uk-UA"/>
        </w:rPr>
        <w:t xml:space="preserve"> </w:t>
      </w:r>
      <w:proofErr w:type="spellStart"/>
      <w:r w:rsidRPr="00CE67BA">
        <w:rPr>
          <w:rFonts w:eastAsia="Times New Roman"/>
          <w:sz w:val="24"/>
          <w:szCs w:val="24"/>
          <w:lang w:eastAsia="uk-UA"/>
        </w:rPr>
        <w:t>Кепітал</w:t>
      </w:r>
      <w:proofErr w:type="spellEnd"/>
      <w:r w:rsidRPr="00CE67BA">
        <w:rPr>
          <w:rFonts w:eastAsia="Times New Roman"/>
          <w:sz w:val="24"/>
          <w:szCs w:val="24"/>
          <w:lang w:eastAsia="uk-UA"/>
        </w:rPr>
        <w:t xml:space="preserve"> Груп» </w:t>
      </w:r>
      <w:r w:rsidRPr="00CE67BA">
        <w:rPr>
          <w:rFonts w:eastAsia="Times New Roman"/>
          <w:sz w:val="24"/>
          <w:szCs w:val="24"/>
        </w:rPr>
        <w:t xml:space="preserve">за рік, що закінчився 31.12.2016 р., була затверджена директором Товариства з обмеженою відповідальністю </w:t>
      </w:r>
      <w:r w:rsidRPr="00CE67BA">
        <w:rPr>
          <w:rFonts w:eastAsia="Times New Roman"/>
          <w:sz w:val="24"/>
          <w:szCs w:val="24"/>
          <w:lang w:eastAsia="uk-UA"/>
        </w:rPr>
        <w:t>«Фінансова компанія «</w:t>
      </w:r>
      <w:proofErr w:type="spellStart"/>
      <w:r w:rsidRPr="00CE67BA">
        <w:rPr>
          <w:rFonts w:eastAsia="Times New Roman"/>
          <w:sz w:val="24"/>
          <w:szCs w:val="24"/>
          <w:lang w:eastAsia="uk-UA"/>
        </w:rPr>
        <w:t>Преміум</w:t>
      </w:r>
      <w:proofErr w:type="spellEnd"/>
      <w:r w:rsidRPr="00CE67BA">
        <w:rPr>
          <w:rFonts w:eastAsia="Times New Roman"/>
          <w:sz w:val="24"/>
          <w:szCs w:val="24"/>
          <w:lang w:eastAsia="uk-UA"/>
        </w:rPr>
        <w:t xml:space="preserve"> </w:t>
      </w:r>
      <w:proofErr w:type="spellStart"/>
      <w:r w:rsidRPr="00CE67BA">
        <w:rPr>
          <w:rFonts w:eastAsia="Times New Roman"/>
          <w:sz w:val="24"/>
          <w:szCs w:val="24"/>
          <w:lang w:eastAsia="uk-UA"/>
        </w:rPr>
        <w:t>Кепітал</w:t>
      </w:r>
      <w:proofErr w:type="spellEnd"/>
      <w:r w:rsidRPr="00CE67BA">
        <w:rPr>
          <w:rFonts w:eastAsia="Times New Roman"/>
          <w:sz w:val="24"/>
          <w:szCs w:val="24"/>
          <w:lang w:eastAsia="uk-UA"/>
        </w:rPr>
        <w:t xml:space="preserve"> Груп» </w:t>
      </w:r>
      <w:r w:rsidRPr="00CE67BA">
        <w:rPr>
          <w:rFonts w:eastAsia="Times New Roman"/>
          <w:sz w:val="23"/>
          <w:szCs w:val="23"/>
          <w:lang w:eastAsia="uk-UA"/>
        </w:rPr>
        <w:t xml:space="preserve">від </w:t>
      </w:r>
      <w:r w:rsidRPr="00CE67BA">
        <w:rPr>
          <w:rFonts w:eastAsia="Times New Roman"/>
          <w:sz w:val="24"/>
          <w:szCs w:val="24"/>
        </w:rPr>
        <w:t>27 лютого 2017 року.</w:t>
      </w:r>
    </w:p>
    <w:p w:rsidR="004664B8" w:rsidRPr="00CE67BA" w:rsidRDefault="004664B8" w:rsidP="004664B8">
      <w:pPr>
        <w:spacing w:line="240" w:lineRule="auto"/>
        <w:ind w:firstLine="360"/>
        <w:rPr>
          <w:rFonts w:eastAsia="Times New Roman"/>
          <w:b/>
          <w:sz w:val="24"/>
          <w:szCs w:val="24"/>
        </w:rPr>
      </w:pPr>
      <w:r w:rsidRPr="00CE67BA">
        <w:rPr>
          <w:rFonts w:eastAsia="Times New Roman"/>
          <w:b/>
          <w:sz w:val="24"/>
          <w:szCs w:val="24"/>
        </w:rPr>
        <w:t xml:space="preserve">3. Суттєві облікові політики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3.1. Облікові політики – це конкретні принципи, основи, домовленості, правила та практика, затверджені Наказом  директора Товариства з обмеженою відповідальністю </w:t>
      </w:r>
      <w:r w:rsidRPr="00CE67BA">
        <w:rPr>
          <w:rFonts w:eastAsia="Times New Roman"/>
          <w:sz w:val="24"/>
          <w:szCs w:val="24"/>
          <w:lang w:eastAsia="uk-UA"/>
        </w:rPr>
        <w:t>«Фінансова компанія «</w:t>
      </w:r>
      <w:proofErr w:type="spellStart"/>
      <w:r w:rsidRPr="00CE67BA">
        <w:rPr>
          <w:rFonts w:eastAsia="Times New Roman"/>
          <w:sz w:val="24"/>
          <w:szCs w:val="24"/>
          <w:lang w:eastAsia="uk-UA"/>
        </w:rPr>
        <w:t>Преміум</w:t>
      </w:r>
      <w:proofErr w:type="spellEnd"/>
      <w:r w:rsidRPr="00CE67BA">
        <w:rPr>
          <w:rFonts w:eastAsia="Times New Roman"/>
          <w:sz w:val="24"/>
          <w:szCs w:val="24"/>
          <w:lang w:eastAsia="uk-UA"/>
        </w:rPr>
        <w:t xml:space="preserve"> </w:t>
      </w:r>
      <w:proofErr w:type="spellStart"/>
      <w:r w:rsidRPr="00CE67BA">
        <w:rPr>
          <w:rFonts w:eastAsia="Times New Roman"/>
          <w:sz w:val="24"/>
          <w:szCs w:val="24"/>
          <w:lang w:eastAsia="uk-UA"/>
        </w:rPr>
        <w:t>Кепітал</w:t>
      </w:r>
      <w:proofErr w:type="spellEnd"/>
      <w:r w:rsidRPr="00CE67BA">
        <w:rPr>
          <w:rFonts w:eastAsia="Times New Roman"/>
          <w:sz w:val="24"/>
          <w:szCs w:val="24"/>
          <w:lang w:eastAsia="uk-UA"/>
        </w:rPr>
        <w:t xml:space="preserve"> Груп»  </w:t>
      </w:r>
      <w:r w:rsidRPr="00CE67BA">
        <w:rPr>
          <w:rFonts w:eastAsia="Times New Roman"/>
          <w:sz w:val="24"/>
          <w:szCs w:val="24"/>
        </w:rPr>
        <w:t xml:space="preserve">та застосовані ним при складанні та поданні фінансової звітності. При виборі облікових політик Товариство використовував таку редакцію МСФЗ, яка є актуальною на дату складання фінансової звітності.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Якщо приймається рішення про дострокове застосування нововведеного МСФЗ (за умови, що МСФЗ дозволяє дострокове застосування), керівництво Товариства вносить доповнення до облікових політик, і вони застосовуються для складання фінансової звітності. Прийнята облікова політика Товариства застосовується послідовно для аналогічних операцій, інших подій та умов, якщо тільки конкретний МСФЗ спеціально не вимагатиме або не дозволятиме розподіл статей за категоріями, для яких можуть застосовуватися різні облікові політики.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3.2. Облікова політика Товариства з обмеженою відповідальністю </w:t>
      </w:r>
      <w:r w:rsidRPr="00CE67BA">
        <w:rPr>
          <w:rFonts w:eastAsia="Times New Roman"/>
          <w:sz w:val="24"/>
          <w:szCs w:val="24"/>
          <w:lang w:eastAsia="uk-UA"/>
        </w:rPr>
        <w:t>«Фінансова компанія «</w:t>
      </w:r>
      <w:proofErr w:type="spellStart"/>
      <w:r w:rsidRPr="00CE67BA">
        <w:rPr>
          <w:rFonts w:eastAsia="Times New Roman"/>
          <w:sz w:val="24"/>
          <w:szCs w:val="24"/>
          <w:lang w:eastAsia="uk-UA"/>
        </w:rPr>
        <w:t>Преміум</w:t>
      </w:r>
      <w:proofErr w:type="spellEnd"/>
      <w:r w:rsidRPr="00CE67BA">
        <w:rPr>
          <w:rFonts w:eastAsia="Times New Roman"/>
          <w:sz w:val="24"/>
          <w:szCs w:val="24"/>
          <w:lang w:eastAsia="uk-UA"/>
        </w:rPr>
        <w:t xml:space="preserve"> </w:t>
      </w:r>
      <w:proofErr w:type="spellStart"/>
      <w:r w:rsidRPr="00CE67BA">
        <w:rPr>
          <w:rFonts w:eastAsia="Times New Roman"/>
          <w:sz w:val="24"/>
          <w:szCs w:val="24"/>
          <w:lang w:eastAsia="uk-UA"/>
        </w:rPr>
        <w:t>Кепітал</w:t>
      </w:r>
      <w:proofErr w:type="spellEnd"/>
      <w:r w:rsidRPr="00CE67BA">
        <w:rPr>
          <w:rFonts w:eastAsia="Times New Roman"/>
          <w:sz w:val="24"/>
          <w:szCs w:val="24"/>
          <w:lang w:eastAsia="uk-UA"/>
        </w:rPr>
        <w:t xml:space="preserve"> Груп» </w:t>
      </w:r>
      <w:r w:rsidRPr="00CE67BA">
        <w:rPr>
          <w:rFonts w:eastAsia="Times New Roman"/>
          <w:sz w:val="24"/>
          <w:szCs w:val="24"/>
        </w:rPr>
        <w:t>встановлена відповідно  до Міжнародних стандартів фінансової звітності.</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3.3. Звітним періодом є календарний рік, тобто період з 01 січня по 31 грудня звітного року.</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3.4. Функціональною валютою вважається українська гривня.</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3.5. Перелік та назви форм фінансової звітності Товариства з обмеженою відповідальністю </w:t>
      </w:r>
      <w:r w:rsidRPr="00CE67BA">
        <w:rPr>
          <w:rFonts w:eastAsia="Times New Roman"/>
          <w:sz w:val="24"/>
          <w:szCs w:val="24"/>
          <w:lang w:eastAsia="uk-UA"/>
        </w:rPr>
        <w:t>«Фінансова компанія «</w:t>
      </w:r>
      <w:proofErr w:type="spellStart"/>
      <w:r w:rsidRPr="00CE67BA">
        <w:rPr>
          <w:rFonts w:eastAsia="Times New Roman"/>
          <w:sz w:val="24"/>
          <w:szCs w:val="24"/>
          <w:lang w:eastAsia="uk-UA"/>
        </w:rPr>
        <w:t>Преміум</w:t>
      </w:r>
      <w:proofErr w:type="spellEnd"/>
      <w:r w:rsidRPr="00CE67BA">
        <w:rPr>
          <w:rFonts w:eastAsia="Times New Roman"/>
          <w:sz w:val="24"/>
          <w:szCs w:val="24"/>
          <w:lang w:eastAsia="uk-UA"/>
        </w:rPr>
        <w:t xml:space="preserve"> </w:t>
      </w:r>
      <w:proofErr w:type="spellStart"/>
      <w:r w:rsidRPr="00CE67BA">
        <w:rPr>
          <w:rFonts w:eastAsia="Times New Roman"/>
          <w:sz w:val="24"/>
          <w:szCs w:val="24"/>
          <w:lang w:eastAsia="uk-UA"/>
        </w:rPr>
        <w:t>Кепітал</w:t>
      </w:r>
      <w:proofErr w:type="spellEnd"/>
      <w:r w:rsidRPr="00CE67BA">
        <w:rPr>
          <w:rFonts w:eastAsia="Times New Roman"/>
          <w:sz w:val="24"/>
          <w:szCs w:val="24"/>
          <w:lang w:eastAsia="uk-UA"/>
        </w:rPr>
        <w:t xml:space="preserve"> Груп» </w:t>
      </w:r>
      <w:r w:rsidRPr="00CE67BA">
        <w:rPr>
          <w:rFonts w:eastAsia="Times New Roman"/>
          <w:sz w:val="24"/>
          <w:szCs w:val="24"/>
        </w:rPr>
        <w:t xml:space="preserve">відповідають встановленим НП(С)БО 1 «Загальні вимоги до фінансової звітності». Аналіз витрат, визнаних у прибутку або збитку, здійснюється з використанням класифікації, заснованої на функції витрат, і на </w:t>
      </w:r>
      <w:r w:rsidRPr="00CE67BA">
        <w:rPr>
          <w:rFonts w:eastAsia="Times New Roman"/>
          <w:sz w:val="24"/>
          <w:szCs w:val="24"/>
        </w:rPr>
        <w:lastRenderedPageBreak/>
        <w:t>виконання вимог п. 105 МСБО 1 «Подання фінансової звітності» у Примітках розкривається структура витрат за характером.</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3.6. Представлення грошових потоків від операційної діяльності у фінансовій звітності здійснюється із застосуванням прямого методу, згідно з яким розкривається інформація про основні класи валових надходжень грошових коштів чи валових виплат грошових коштів. Інформація про основні види валових грошових надходжень та валових грошових виплат формується на підставі облікових записів Товариства.</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3.7. У зв’язку з тим, що у Товариства з обмеженою відповідальністю </w:t>
      </w:r>
      <w:r w:rsidRPr="00CE67BA">
        <w:rPr>
          <w:rFonts w:eastAsia="Times New Roman"/>
          <w:sz w:val="24"/>
          <w:szCs w:val="24"/>
          <w:lang w:eastAsia="uk-UA"/>
        </w:rPr>
        <w:t>«Фінансова компанія «</w:t>
      </w:r>
      <w:proofErr w:type="spellStart"/>
      <w:r w:rsidRPr="00CE67BA">
        <w:rPr>
          <w:rFonts w:eastAsia="Times New Roman"/>
          <w:sz w:val="24"/>
          <w:szCs w:val="24"/>
          <w:lang w:eastAsia="uk-UA"/>
        </w:rPr>
        <w:t>Преміум</w:t>
      </w:r>
      <w:proofErr w:type="spellEnd"/>
      <w:r w:rsidRPr="00CE67BA">
        <w:rPr>
          <w:rFonts w:eastAsia="Times New Roman"/>
          <w:sz w:val="24"/>
          <w:szCs w:val="24"/>
          <w:lang w:eastAsia="uk-UA"/>
        </w:rPr>
        <w:t xml:space="preserve"> </w:t>
      </w:r>
      <w:proofErr w:type="spellStart"/>
      <w:r w:rsidRPr="00CE67BA">
        <w:rPr>
          <w:rFonts w:eastAsia="Times New Roman"/>
          <w:sz w:val="24"/>
          <w:szCs w:val="24"/>
          <w:lang w:eastAsia="uk-UA"/>
        </w:rPr>
        <w:t>Кепітал</w:t>
      </w:r>
      <w:proofErr w:type="spellEnd"/>
      <w:r w:rsidRPr="00CE67BA">
        <w:rPr>
          <w:rFonts w:eastAsia="Times New Roman"/>
          <w:sz w:val="24"/>
          <w:szCs w:val="24"/>
          <w:lang w:eastAsia="uk-UA"/>
        </w:rPr>
        <w:t xml:space="preserve"> Груп» </w:t>
      </w:r>
      <w:r w:rsidRPr="00CE67BA">
        <w:rPr>
          <w:rFonts w:eastAsia="Times New Roman"/>
          <w:sz w:val="24"/>
          <w:szCs w:val="24"/>
        </w:rPr>
        <w:t xml:space="preserve">нормальний операційний цикл не можна чітко ідентифікувати, прийнято його тривалість вважати рівною 12 місяцям. </w:t>
      </w:r>
    </w:p>
    <w:p w:rsidR="004664B8" w:rsidRPr="00CE67BA" w:rsidRDefault="004664B8" w:rsidP="004664B8">
      <w:pPr>
        <w:spacing w:line="240" w:lineRule="auto"/>
        <w:ind w:firstLine="360"/>
        <w:rPr>
          <w:rFonts w:eastAsia="Times New Roman"/>
          <w:b/>
          <w:i/>
          <w:sz w:val="24"/>
          <w:szCs w:val="24"/>
        </w:rPr>
      </w:pPr>
      <w:r w:rsidRPr="00CE67BA">
        <w:rPr>
          <w:rFonts w:eastAsia="Times New Roman"/>
          <w:b/>
          <w:sz w:val="24"/>
          <w:szCs w:val="24"/>
        </w:rPr>
        <w:t xml:space="preserve">4. </w:t>
      </w:r>
      <w:r w:rsidRPr="00CE67BA">
        <w:rPr>
          <w:rFonts w:eastAsia="Times New Roman"/>
          <w:b/>
          <w:sz w:val="23"/>
          <w:szCs w:val="23"/>
        </w:rPr>
        <w:t>Облікові політки  щодо активів Товариства</w:t>
      </w:r>
      <w:r w:rsidRPr="00CE67BA">
        <w:rPr>
          <w:rFonts w:eastAsia="Times New Roman"/>
          <w:b/>
          <w:i/>
          <w:sz w:val="24"/>
          <w:szCs w:val="24"/>
        </w:rPr>
        <w:t xml:space="preserve"> </w:t>
      </w:r>
    </w:p>
    <w:p w:rsidR="004664B8" w:rsidRPr="00CE67BA" w:rsidRDefault="004664B8" w:rsidP="004664B8">
      <w:pPr>
        <w:spacing w:line="240" w:lineRule="auto"/>
        <w:ind w:firstLine="360"/>
        <w:rPr>
          <w:rFonts w:eastAsia="Times New Roman"/>
          <w:b/>
          <w:i/>
          <w:sz w:val="24"/>
          <w:szCs w:val="24"/>
        </w:rPr>
      </w:pPr>
      <w:r w:rsidRPr="00CE67BA">
        <w:rPr>
          <w:rFonts w:eastAsia="Times New Roman"/>
          <w:b/>
          <w:i/>
          <w:sz w:val="24"/>
          <w:szCs w:val="24"/>
        </w:rPr>
        <w:t xml:space="preserve">Фінансові інструменти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Фінансові інструменти відображаються за справедливою вартістю або амортизованою вартістю залежно від їх класифікації. Початок та припинення визнання фінансових інструментів чітко регламентуються МСФЗ.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Фінансові інструменти первісно визнаються за справедливою вартістю, при цьому, фінансові інструменти, крім таких що оцінюються за справедливою вартістю з відображенням переоцінки у прибутку чи збитку, визнаються за справедливою вартістю плюс/мінус витрати, понесені на здійснення операції. Найкращим підтвердженням справедливої вартості при первісному визнанні є ціна угоди.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Товариства з обмеженою відповідальністю </w:t>
      </w:r>
      <w:r w:rsidRPr="00CE67BA">
        <w:rPr>
          <w:rFonts w:eastAsia="Times New Roman"/>
          <w:sz w:val="24"/>
          <w:szCs w:val="24"/>
          <w:lang w:eastAsia="uk-UA"/>
        </w:rPr>
        <w:t>«Фінансова компанія «</w:t>
      </w:r>
      <w:proofErr w:type="spellStart"/>
      <w:r w:rsidRPr="00CE67BA">
        <w:rPr>
          <w:rFonts w:eastAsia="Times New Roman"/>
          <w:sz w:val="24"/>
          <w:szCs w:val="24"/>
          <w:lang w:eastAsia="uk-UA"/>
        </w:rPr>
        <w:t>Преміум</w:t>
      </w:r>
      <w:proofErr w:type="spellEnd"/>
      <w:r w:rsidRPr="00CE67BA">
        <w:rPr>
          <w:rFonts w:eastAsia="Times New Roman"/>
          <w:sz w:val="24"/>
          <w:szCs w:val="24"/>
          <w:lang w:eastAsia="uk-UA"/>
        </w:rPr>
        <w:t xml:space="preserve"> </w:t>
      </w:r>
      <w:proofErr w:type="spellStart"/>
      <w:r w:rsidRPr="00CE67BA">
        <w:rPr>
          <w:rFonts w:eastAsia="Times New Roman"/>
          <w:sz w:val="24"/>
          <w:szCs w:val="24"/>
          <w:lang w:eastAsia="uk-UA"/>
        </w:rPr>
        <w:t>Кепітал</w:t>
      </w:r>
      <w:proofErr w:type="spellEnd"/>
      <w:r w:rsidRPr="00CE67BA">
        <w:rPr>
          <w:rFonts w:eastAsia="Times New Roman"/>
          <w:sz w:val="24"/>
          <w:szCs w:val="24"/>
          <w:lang w:eastAsia="uk-UA"/>
        </w:rPr>
        <w:t xml:space="preserve"> Груп» </w:t>
      </w:r>
      <w:r w:rsidRPr="00CE67BA">
        <w:rPr>
          <w:rFonts w:eastAsia="Times New Roman"/>
          <w:sz w:val="24"/>
          <w:szCs w:val="24"/>
        </w:rPr>
        <w:t xml:space="preserve">класифікує непохідні фінансові активи за наступними категоріями: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а) фінансові активи, що оцінюються за справедливою вартістю з відображенням переоцінки у прибутку чи збитку (обліковуються за справедливою вартістю, без перевірки на зменшення корисності, зміна справедливої вартості відображається у фінансовому результаті);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б) фінансові активи утримувані до погашення (обліковуються за амортизованою вартістю із застосуванням ефективної відсоткової ставки, перевіряються на зменшення корисності); </w:t>
      </w:r>
    </w:p>
    <w:p w:rsidR="004664B8" w:rsidRPr="00CE67BA" w:rsidRDefault="004664B8" w:rsidP="004664B8">
      <w:pPr>
        <w:spacing w:line="240" w:lineRule="auto"/>
        <w:ind w:firstLine="0"/>
        <w:rPr>
          <w:rFonts w:eastAsia="Times New Roman"/>
          <w:sz w:val="23"/>
          <w:szCs w:val="23"/>
        </w:rPr>
      </w:pPr>
      <w:r w:rsidRPr="00CE67BA">
        <w:rPr>
          <w:rFonts w:eastAsia="Times New Roman"/>
          <w:sz w:val="23"/>
          <w:szCs w:val="23"/>
        </w:rPr>
        <w:t xml:space="preserve">в) дебіторська заборгованість за товари, роботи та послуги та інша монетарна дебіторська заборгованість (обліковується за амортизованою вартістю, перевіряється на зменшення корисності);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г) фінансові активи доступні для продажу (обліковуються за справедливою вартістю, перевіряються на зменшення корисності, зміна справедливої вартості відображається у капіталі (через інший сукупний дохід); якщо неможливо достовірно визначити справедливу вартість акцій та інших інструментів власного капіталу – обліковуються за собівартістю);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д) депозити; </w:t>
      </w:r>
    </w:p>
    <w:p w:rsidR="004664B8" w:rsidRPr="00CE67BA" w:rsidRDefault="004664B8" w:rsidP="004664B8">
      <w:pPr>
        <w:spacing w:line="240" w:lineRule="auto"/>
        <w:ind w:firstLine="0"/>
        <w:rPr>
          <w:rFonts w:eastAsia="Times New Roman"/>
          <w:b/>
          <w:sz w:val="24"/>
          <w:szCs w:val="24"/>
        </w:rPr>
      </w:pPr>
      <w:r w:rsidRPr="00CE67BA">
        <w:rPr>
          <w:rFonts w:eastAsia="Times New Roman"/>
          <w:sz w:val="24"/>
          <w:szCs w:val="24"/>
        </w:rPr>
        <w:t xml:space="preserve">є) грошові кошти та їх еквіваленти. </w:t>
      </w:r>
    </w:p>
    <w:p w:rsidR="004664B8" w:rsidRPr="00CE67BA" w:rsidRDefault="004664B8" w:rsidP="004664B8">
      <w:pPr>
        <w:spacing w:line="240" w:lineRule="auto"/>
        <w:ind w:firstLine="0"/>
        <w:rPr>
          <w:rFonts w:eastAsia="Times New Roman"/>
          <w:sz w:val="24"/>
          <w:szCs w:val="24"/>
        </w:rPr>
      </w:pPr>
      <w:r w:rsidRPr="00CE67BA">
        <w:rPr>
          <w:rFonts w:eastAsia="Times New Roman"/>
          <w:b/>
          <w:i/>
          <w:sz w:val="24"/>
          <w:szCs w:val="24"/>
        </w:rPr>
        <w:t>Основні засоби</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Основні засоби – це матеріальні активи, які Товариство утримує з ціллю використання їх в своїй діяльності,  постачанні товарів, наданні послуг чи реалізації своїх адміністративних цілей, очікуваний термін корисного використання (експлуатації) яких більше одного року.</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При визнанні та обліку основних засобів Товариство керується МСФЗ № 16 «Основні засоби».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Основні засоби враховуються у звіті про фінансове положення за первинною вартістю, що включає всі витрати, необхідні для доведення активу до стану, придатного до використання, за вирахуванням накопиченої амортизації і збитків від знецінення.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Капіталізовані витрати включають основні витрати на модернізацію і заміну частин активів, які збільшують термін їх корисної експлуатації або покращують їх здатність генерувати доходи. Витрати на ремонт і обслуговування основних засобів, які не відповідають приведеним вище критеріям капіталізації, відображаються в звіті про сукупні доходи і витрати того періоду, в якому вони були понесені.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Сума, що амортизується - це первинна вартість об'єкту основних засобів або переоцінена вартість, за вирахуванням його ліквідаційної вартості. Ліквідаційна вартість активу - це </w:t>
      </w:r>
      <w:r w:rsidRPr="00CE67BA">
        <w:rPr>
          <w:rFonts w:eastAsia="Times New Roman"/>
          <w:sz w:val="24"/>
          <w:szCs w:val="24"/>
        </w:rPr>
        <w:lastRenderedPageBreak/>
        <w:t xml:space="preserve">передбачувана сума, яку підприємство отримало б на даний момент від реалізації об'єкту основних засобів після вирахування очікуваних витрат на вибуття, якби даний актив вже досяг того віку і стану, в якому, імовірно, він знаходитиметься в кінці свого терміну корисного використання.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Терміни корисного використання груп основних засобів представлені таким чином: </w:t>
      </w:r>
    </w:p>
    <w:p w:rsidR="004664B8" w:rsidRPr="00CE67BA" w:rsidRDefault="004664B8" w:rsidP="004664B8">
      <w:pPr>
        <w:spacing w:line="240" w:lineRule="auto"/>
        <w:ind w:firstLine="708"/>
        <w:rPr>
          <w:rFonts w:eastAsia="Times New Roman"/>
          <w:sz w:val="24"/>
          <w:szCs w:val="24"/>
        </w:rPr>
      </w:pPr>
      <w:r w:rsidRPr="00CE67BA">
        <w:rPr>
          <w:rFonts w:eastAsia="Times New Roman"/>
          <w:sz w:val="24"/>
          <w:szCs w:val="24"/>
        </w:rPr>
        <w:t xml:space="preserve">Будинки та споруди 10-20 років </w:t>
      </w:r>
    </w:p>
    <w:p w:rsidR="004664B8" w:rsidRPr="00CE67BA" w:rsidRDefault="004664B8" w:rsidP="004664B8">
      <w:pPr>
        <w:spacing w:line="240" w:lineRule="auto"/>
        <w:ind w:firstLine="708"/>
        <w:rPr>
          <w:rFonts w:eastAsia="Times New Roman"/>
          <w:sz w:val="24"/>
          <w:szCs w:val="24"/>
        </w:rPr>
      </w:pPr>
      <w:r w:rsidRPr="00CE67BA">
        <w:rPr>
          <w:rFonts w:eastAsia="Times New Roman"/>
          <w:sz w:val="24"/>
          <w:szCs w:val="24"/>
        </w:rPr>
        <w:t xml:space="preserve">Машини та обладнання 2-5 років </w:t>
      </w:r>
    </w:p>
    <w:p w:rsidR="004664B8" w:rsidRPr="00CE67BA" w:rsidRDefault="004664B8" w:rsidP="004664B8">
      <w:pPr>
        <w:spacing w:line="240" w:lineRule="auto"/>
        <w:ind w:firstLine="708"/>
        <w:rPr>
          <w:rFonts w:eastAsia="Times New Roman"/>
          <w:sz w:val="24"/>
          <w:szCs w:val="24"/>
        </w:rPr>
      </w:pPr>
      <w:r w:rsidRPr="00CE67BA">
        <w:rPr>
          <w:rFonts w:eastAsia="Times New Roman"/>
          <w:sz w:val="24"/>
          <w:szCs w:val="24"/>
        </w:rPr>
        <w:t xml:space="preserve">Інструменти, прилади, інвентар, меблі - 4 років </w:t>
      </w:r>
    </w:p>
    <w:p w:rsidR="004664B8" w:rsidRPr="00CE67BA" w:rsidRDefault="004664B8" w:rsidP="004664B8">
      <w:pPr>
        <w:spacing w:line="240" w:lineRule="auto"/>
        <w:ind w:firstLine="708"/>
        <w:rPr>
          <w:rFonts w:eastAsia="Times New Roman"/>
          <w:sz w:val="24"/>
          <w:szCs w:val="24"/>
        </w:rPr>
      </w:pPr>
      <w:r w:rsidRPr="00CE67BA">
        <w:rPr>
          <w:rFonts w:eastAsia="Times New Roman"/>
          <w:sz w:val="24"/>
          <w:szCs w:val="24"/>
        </w:rPr>
        <w:t xml:space="preserve">Інші основні засоби - 12 років.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Ліквідаційна вартість, терміни корисного використання і метод нарахування амортизації передивляються на кінець кожного фінансового року. Вплив будь-яких змін, що виникають від оцінок, зроблених в попередні періоди, враховується як зміна облікової оцінки.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Дохід або збиток, що виникають в результаті вибуття або ліквідації об'єкту основних засобів, визначається як різниця між сумами від продажу і балансовою вартістю активу і признається в прибутках і збитках. </w:t>
      </w:r>
    </w:p>
    <w:p w:rsidR="004664B8" w:rsidRPr="00CE67BA" w:rsidRDefault="004664B8" w:rsidP="004664B8">
      <w:pPr>
        <w:spacing w:line="240" w:lineRule="auto"/>
        <w:ind w:firstLine="0"/>
        <w:rPr>
          <w:rFonts w:eastAsia="Times New Roman"/>
          <w:sz w:val="24"/>
          <w:szCs w:val="24"/>
        </w:rPr>
      </w:pPr>
      <w:r w:rsidRPr="00CE67BA">
        <w:rPr>
          <w:rFonts w:eastAsia="Times New Roman"/>
          <w:b/>
          <w:i/>
          <w:sz w:val="24"/>
          <w:szCs w:val="24"/>
        </w:rPr>
        <w:t>Нематеріальні активи</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При визнанні та обліку нематеріальних активів Товариство керується МСБО № 38 «Нематеріальні активи». Рівень суттєвості для статті «Нематеріальні активи» в фінансовій звітності складає 1500,00 грн.</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Нематеріальні активи з кінцевими термінами використання, придбані в рамках окремих операцій, враховуються за вартістю придбання за вирахуванням накопиченої амортизації і накопиченого збитку від знецінення. Амортизація нараховується рівномірно протягом терміну корисного використання нематеріальних активів з використанням прямолінійного методу. Очікувані терміни корисного використання і метод нарахування амортизації аналізуються на кінець кожного звітного періоду, при цьому всі зміни в оцінках відбиваються в звітності без перерахування порівняльних показників.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Термін використання нематеріальних активів визначати наступний:</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авторське право та суміжні з ним права (право на літературні, художні, музичні твори, комп'ютерні програми, програми для електронно-обчислювальних машин, компіляції даних (бази даних), фонограми, відеограми, передачі (програми) організацій мовлення тощо) крім тих, витрати на придбання яких визнаються роялті - відповідно до правовстановлюючого документа, але не менш ніж 2 роки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 - інші нематеріальні активи (право на здійснення діяльності, використання економічних та інших привілеїв тощо) - відповідно до правовстановлюючого документа.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Якщо відповідно до правовстановлюючого документа строк дії права користування нематеріального активу не встановлено, такий строк корисного використання визнається Товариством 10 років.</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Нематеріальні активи з невизначеними термінами використання, придбані в рамках окремих операцій, враховуються за вартістю придбання за вирахуванням накопиченого збитку від знецінення.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Нематеріальний актив списується при продажі або коли від його майбутнього використання або вибуття не очікується економічних вигод. Дохід або збиток від списання нематеріального активу, що є різницею між чистими сумами від вибуття і балансовою вартістю активу, включається в звіт про сукупні доходи і витрати у момент списання. </w:t>
      </w:r>
    </w:p>
    <w:p w:rsidR="004664B8" w:rsidRPr="00CE67BA" w:rsidRDefault="004664B8" w:rsidP="004664B8">
      <w:pPr>
        <w:spacing w:line="240" w:lineRule="auto"/>
        <w:ind w:firstLine="0"/>
        <w:rPr>
          <w:rFonts w:eastAsia="Times New Roman"/>
          <w:sz w:val="24"/>
          <w:szCs w:val="24"/>
        </w:rPr>
      </w:pPr>
      <w:r w:rsidRPr="00CE67BA">
        <w:rPr>
          <w:rFonts w:eastAsia="Times New Roman"/>
          <w:b/>
          <w:i/>
          <w:sz w:val="24"/>
          <w:szCs w:val="24"/>
        </w:rPr>
        <w:t>Незавершені капітальні інвестиції</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Незавершеними капітальними інвестиціями (незавершеним будівництвом) визнаються витрати з будівництва (виготовлення), придбання і поліпшення об’єктів основних засобів з початку і до закінчення зазначених робіт та введення об’єктів в експлуатацію та </w:t>
      </w:r>
      <w:r w:rsidRPr="00CE67BA">
        <w:rPr>
          <w:rFonts w:eastAsia="Times New Roman"/>
          <w:sz w:val="24"/>
          <w:szCs w:val="24"/>
        </w:rPr>
        <w:lastRenderedPageBreak/>
        <w:t>обліковуються у складі незавершеного будівництва до введення об’єктів основних засобів в експлуатацію. Незавершені капітальні інвестиції не є об’єктами основних засобів, обліковуються в окремій групі, а їх вартість не підлягає переоцінці та амортизації.</w:t>
      </w:r>
    </w:p>
    <w:p w:rsidR="004664B8" w:rsidRPr="00CE67BA" w:rsidRDefault="004664B8" w:rsidP="004664B8">
      <w:pPr>
        <w:spacing w:line="240" w:lineRule="auto"/>
        <w:ind w:firstLine="0"/>
        <w:rPr>
          <w:rFonts w:eastAsia="Times New Roman"/>
          <w:b/>
          <w:i/>
          <w:sz w:val="24"/>
          <w:szCs w:val="24"/>
        </w:rPr>
      </w:pPr>
      <w:r w:rsidRPr="00CE67BA">
        <w:rPr>
          <w:rFonts w:eastAsia="Times New Roman"/>
          <w:b/>
          <w:i/>
          <w:sz w:val="24"/>
          <w:szCs w:val="24"/>
        </w:rPr>
        <w:t xml:space="preserve">Знецінення основних засобів і нематеріальних активів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Товариство проводить перевірку наявності індикаторів знецінення балансової вартості матеріальних і нематеріальних активів на кожну звітну дату. В разі виявлення будь-яких таких індикаторів розраховується відшкодована вартість відповідного активу для визначення розміру збитку від знецінення (якщо такий є). Якщо неможливо оцінити відшкодовану вартість окремого активу, Товариство оцінює відшкодовану вартість </w:t>
      </w:r>
      <w:proofErr w:type="spellStart"/>
      <w:r w:rsidRPr="00CE67BA">
        <w:rPr>
          <w:rFonts w:eastAsia="Times New Roman"/>
          <w:sz w:val="24"/>
          <w:szCs w:val="24"/>
        </w:rPr>
        <w:t>генеруючої</w:t>
      </w:r>
      <w:proofErr w:type="spellEnd"/>
      <w:r w:rsidRPr="00CE67BA">
        <w:rPr>
          <w:rFonts w:eastAsia="Times New Roman"/>
          <w:sz w:val="24"/>
          <w:szCs w:val="24"/>
        </w:rPr>
        <w:t xml:space="preserve"> одиниці, до якої відноситься такий актив. Нематеріальні активи з невизначеним терміном корисного використання і нематеріальні активи, не готові до використання, оцінюються на предмет знецінення як мінімум щорік і при виявленні будь-яких ознак можливого знецінення.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Відшкодована вартість визначається як більше із справедливої вартості активу за вирахуванням витрат на реалізацію і експлуатаційної цінності. При оцінці експлуатаційної цінності, очікувані майбутні потоки грошових коштів дисконтуються до приведеної вартості з використанням ставки дисконтування до оподаткування, що відображає поточну ринкову оцінку вартості грошей в часі і ризиків, властивих даному активу, відносно яких оцінка майбутніх грошових потоків не коректувалася.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Якщо відшкодована вартість активу (або </w:t>
      </w:r>
      <w:proofErr w:type="spellStart"/>
      <w:r w:rsidRPr="00CE67BA">
        <w:rPr>
          <w:rFonts w:eastAsia="Times New Roman"/>
          <w:sz w:val="24"/>
          <w:szCs w:val="24"/>
        </w:rPr>
        <w:t>генеруючої</w:t>
      </w:r>
      <w:proofErr w:type="spellEnd"/>
      <w:r w:rsidRPr="00CE67BA">
        <w:rPr>
          <w:rFonts w:eastAsia="Times New Roman"/>
          <w:sz w:val="24"/>
          <w:szCs w:val="24"/>
        </w:rPr>
        <w:t xml:space="preserve"> одиниці) виявляється нижчою за його балансову вартість, балансова вартість цього активу (</w:t>
      </w:r>
      <w:proofErr w:type="spellStart"/>
      <w:r w:rsidRPr="00CE67BA">
        <w:rPr>
          <w:rFonts w:eastAsia="Times New Roman"/>
          <w:sz w:val="24"/>
          <w:szCs w:val="24"/>
        </w:rPr>
        <w:t>генеруючої</w:t>
      </w:r>
      <w:proofErr w:type="spellEnd"/>
      <w:r w:rsidRPr="00CE67BA">
        <w:rPr>
          <w:rFonts w:eastAsia="Times New Roman"/>
          <w:sz w:val="24"/>
          <w:szCs w:val="24"/>
        </w:rPr>
        <w:t xml:space="preserve"> одиниці) зменшується до відшкодованої вартості. Збитки від знецінення відразу відображаються в прибутках і збитках, за винятком випадків, коли актив враховується за оціненою вартістю. В цьому випадку збиток від знецінення враховується як зменшення резерву по переоцінці.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У випадках, коли збиток від знецінення згодом відновлюється, балансова вартість активу (</w:t>
      </w:r>
      <w:proofErr w:type="spellStart"/>
      <w:r w:rsidRPr="00CE67BA">
        <w:rPr>
          <w:rFonts w:eastAsia="Times New Roman"/>
          <w:sz w:val="24"/>
          <w:szCs w:val="24"/>
        </w:rPr>
        <w:t>генеруючої</w:t>
      </w:r>
      <w:proofErr w:type="spellEnd"/>
      <w:r w:rsidRPr="00CE67BA">
        <w:rPr>
          <w:rFonts w:eastAsia="Times New Roman"/>
          <w:sz w:val="24"/>
          <w:szCs w:val="24"/>
        </w:rPr>
        <w:t xml:space="preserve"> одиниці) збільшується до суми, отриманої в результаті нової оцінки його відшкодованої вартості, так, щоб нова балансова вартість не перевищувала балансову вартість, яка була б визначена, якби по цьому активу (</w:t>
      </w:r>
      <w:proofErr w:type="spellStart"/>
      <w:r w:rsidRPr="00CE67BA">
        <w:rPr>
          <w:rFonts w:eastAsia="Times New Roman"/>
          <w:sz w:val="24"/>
          <w:szCs w:val="24"/>
        </w:rPr>
        <w:t>генеруючій</w:t>
      </w:r>
      <w:proofErr w:type="spellEnd"/>
      <w:r w:rsidRPr="00CE67BA">
        <w:rPr>
          <w:rFonts w:eastAsia="Times New Roman"/>
          <w:sz w:val="24"/>
          <w:szCs w:val="24"/>
        </w:rPr>
        <w:t xml:space="preserve"> одиниці) не був відображений збиток від знецінення в попередні роки. Відновлення збитку від знецінення відразу ж відображається в прибутках і збитках, за винятком випадків, коли актив враховується за оціненою вартістю. В цьому випадку відновлення збитку від знецінення враховується як збільшення резерву по переоцінці.</w:t>
      </w:r>
    </w:p>
    <w:p w:rsidR="004664B8" w:rsidRPr="00CE67BA" w:rsidRDefault="004664B8" w:rsidP="004664B8">
      <w:pPr>
        <w:spacing w:line="240" w:lineRule="auto"/>
        <w:ind w:firstLine="0"/>
        <w:rPr>
          <w:rFonts w:eastAsia="Times New Roman"/>
          <w:sz w:val="24"/>
          <w:szCs w:val="24"/>
        </w:rPr>
      </w:pPr>
      <w:r w:rsidRPr="00CE67BA">
        <w:rPr>
          <w:rFonts w:eastAsia="Times New Roman"/>
          <w:b/>
          <w:i/>
          <w:sz w:val="24"/>
          <w:szCs w:val="24"/>
        </w:rPr>
        <w:t xml:space="preserve">Запаси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Запаси визнаються Товариством, якщо вони належать йому і: існує велика ймовірність одержання економічної вигоди від їхнього використання в майбутньому;  та їхня вартість може бути вірогідно оцінена.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Підставою для включення (списання) матеріальних цінностей в (з) склад (у) запасів є передача ризиків і вигід, пов'язаних з володінням запасами. Одиницею бухгалтерського обліку запасів вважається кожне їхнє найменування.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Запаси оцінюються за меншою з двох величин: собівартістю або чистою вартістю реалізації.</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При передачі запасів у виробництво, продажу та іншому вибутті їх оцінка здійснювалась для сировини, основних матеріалів, напівфабрикатів — по середньозваженій собівартості, допоміжні матеріали, палива, запасних частин, малоцінних швидкозношуваних предметів та покупних напівфабрикатів за методом ідентифікованої собівартості.</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Для запасів, що знаходяться у роздрібній торгівлі, вибуття здійснювалось за цінами продажу.</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Чиста вартість реалізації являє собою оціночну ціну реалізації в ході звичайної господарської діяльності за вирахуванням будь-яких очікуваних майбутніх витрат, пов'язаних з доведенням продукції до готовності, та витрат на її реалізацію.</w:t>
      </w:r>
    </w:p>
    <w:p w:rsidR="004664B8" w:rsidRPr="00CE67BA" w:rsidRDefault="004664B8" w:rsidP="004664B8">
      <w:pPr>
        <w:spacing w:line="240" w:lineRule="auto"/>
        <w:ind w:firstLine="0"/>
        <w:rPr>
          <w:rFonts w:eastAsia="Times New Roman"/>
          <w:sz w:val="24"/>
          <w:szCs w:val="24"/>
        </w:rPr>
      </w:pPr>
      <w:r w:rsidRPr="00CE67BA">
        <w:rPr>
          <w:rFonts w:eastAsia="Times New Roman"/>
          <w:b/>
          <w:i/>
          <w:sz w:val="24"/>
          <w:szCs w:val="24"/>
        </w:rPr>
        <w:t>Дебіторська заборгованість</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Дебіторська заборгованість – це фінансовий актив, який є контрактним правом отримувати грошові кошти або інший фінансовий актив від іншого суб’єкта </w:t>
      </w:r>
      <w:r w:rsidRPr="00CE67BA">
        <w:rPr>
          <w:rFonts w:eastAsia="Times New Roman"/>
          <w:sz w:val="24"/>
          <w:szCs w:val="24"/>
        </w:rPr>
        <w:lastRenderedPageBreak/>
        <w:t xml:space="preserve">господарювання.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Дебіторська заборгованість визнається у звіті про фінансовий стан тоді і лише тоді, коли Товариство стає стороною контрактних положень щодо цього інструменту.</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Первісна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Дебіторська заборгованість може бути </w:t>
      </w:r>
      <w:proofErr w:type="spellStart"/>
      <w:r w:rsidRPr="00CE67BA">
        <w:rPr>
          <w:rFonts w:eastAsia="Times New Roman"/>
          <w:sz w:val="24"/>
          <w:szCs w:val="24"/>
        </w:rPr>
        <w:t>нескасовно</w:t>
      </w:r>
      <w:proofErr w:type="spellEnd"/>
      <w:r w:rsidRPr="00CE67BA">
        <w:rPr>
          <w:rFonts w:eastAsia="Times New Roman"/>
          <w:sz w:val="24"/>
          <w:szCs w:val="24"/>
        </w:rPr>
        <w:t xml:space="preserve"> призначена як така, що оцінюється за справедливою вартістю з відображенням результату переоцінки у прибутку або збитку, якщо таке призначення усуває або значно зменшує невідповідність оцінки чи визнання (яку інколи називають «неузгодженістю обліку»), що інакше виникне внаслідок оцінювання активів або зобов’язань чи визнання прибутків або збитків за ними на різних підставах.</w:t>
      </w:r>
    </w:p>
    <w:p w:rsidR="004664B8" w:rsidRPr="00CE67BA" w:rsidRDefault="004664B8" w:rsidP="004664B8">
      <w:pPr>
        <w:spacing w:line="240" w:lineRule="auto"/>
        <w:ind w:firstLine="0"/>
        <w:rPr>
          <w:rFonts w:eastAsia="Times New Roman"/>
          <w:b/>
          <w:i/>
          <w:sz w:val="24"/>
          <w:szCs w:val="24"/>
        </w:rPr>
      </w:pPr>
      <w:r w:rsidRPr="00CE67BA">
        <w:rPr>
          <w:rFonts w:eastAsia="Times New Roman"/>
          <w:sz w:val="24"/>
          <w:szCs w:val="24"/>
        </w:rPr>
        <w:t xml:space="preserve">Подальша оцінка дебіторської заборгованості здійснюється за </w:t>
      </w:r>
      <w:r w:rsidR="00CE67BA" w:rsidRPr="00CE67BA">
        <w:rPr>
          <w:rFonts w:eastAsia="Times New Roman"/>
          <w:sz w:val="24"/>
          <w:szCs w:val="24"/>
        </w:rPr>
        <w:t xml:space="preserve">справедливою </w:t>
      </w:r>
      <w:r w:rsidRPr="00CE67BA">
        <w:rPr>
          <w:rFonts w:eastAsia="Times New Roman"/>
          <w:sz w:val="24"/>
          <w:szCs w:val="24"/>
        </w:rPr>
        <w:t>вартістю.</w:t>
      </w:r>
      <w:r w:rsidRPr="00CE67BA">
        <w:rPr>
          <w:rFonts w:eastAsia="Times New Roman"/>
          <w:b/>
          <w:i/>
          <w:sz w:val="24"/>
          <w:szCs w:val="24"/>
        </w:rPr>
        <w:t xml:space="preserve"> </w:t>
      </w:r>
    </w:p>
    <w:p w:rsidR="004664B8" w:rsidRPr="00CE67BA" w:rsidRDefault="004664B8" w:rsidP="004664B8">
      <w:pPr>
        <w:spacing w:line="240" w:lineRule="auto"/>
        <w:ind w:firstLine="0"/>
        <w:rPr>
          <w:rFonts w:eastAsia="Times New Roman"/>
          <w:b/>
          <w:i/>
          <w:sz w:val="24"/>
          <w:szCs w:val="24"/>
        </w:rPr>
      </w:pPr>
      <w:r w:rsidRPr="00CE67BA">
        <w:rPr>
          <w:rFonts w:eastAsia="Times New Roman"/>
          <w:b/>
          <w:i/>
          <w:sz w:val="24"/>
          <w:szCs w:val="24"/>
        </w:rPr>
        <w:t xml:space="preserve">Грошові кошти та їх еквіваленти.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Грошові кошти складаються з готівки в касі, коштів на поточних рахунках.</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Еквіваленти грошових коштів – це короткострокові, високоліквідні інвестиції, які вільно конвертуються у відомі суми грошових коштів і яким притаманний незначний ризик зміни вартості. Інвестиція визначається зазвичай як еквівалент грошових коштів тільки в разі короткого строку погашення, наприклад, упродовж не більше ніж три місяці з дати придбання. Грошові кошти та їх еквіваленти можуть утримуватися, а операції з ними проводитися в національній та іноземній валюті..</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Іноземна валюта – це валюта інша, ніж функціональна валюта суб’єкта господарювання.</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До грошових коштів також прирівнюються кошти, депоновані (блоковані) на торгових рахунках та призначені для покриття операцій купівлі на ринку заявок фондової біржі.</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Грошові кошти та їх еквіваленти визнаються за умови відповідності критеріям визнання активами.</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Первісна та подальша оцінка грошових коштів та їх еквівалентів здійснюється за справедливою вартістю, яка дорівнює їх номінальній вартості.</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Первісна та подальша оцінка грошових коштів та їх еквівалентів в іноземній валюті здійснюється у функціональній валюті за офіційними курсами Національного банку України (далі – НБУ).</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У разі призначення НБУ в банківській установі тимчасової адміністрації або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відображається у складі збитків звітного періоду.</w:t>
      </w:r>
    </w:p>
    <w:p w:rsidR="004664B8" w:rsidRPr="00CE67BA" w:rsidRDefault="004664B8" w:rsidP="004664B8">
      <w:pPr>
        <w:spacing w:line="240" w:lineRule="auto"/>
        <w:ind w:firstLine="360"/>
        <w:rPr>
          <w:rFonts w:eastAsia="Times New Roman"/>
          <w:b/>
          <w:sz w:val="23"/>
          <w:szCs w:val="23"/>
        </w:rPr>
      </w:pPr>
      <w:r w:rsidRPr="00CE67BA">
        <w:rPr>
          <w:rFonts w:eastAsia="Times New Roman"/>
          <w:b/>
          <w:sz w:val="23"/>
          <w:szCs w:val="23"/>
        </w:rPr>
        <w:t xml:space="preserve">5. Облікові політки  щодо </w:t>
      </w:r>
      <w:proofErr w:type="spellStart"/>
      <w:r w:rsidRPr="00CE67BA">
        <w:rPr>
          <w:rFonts w:eastAsia="Times New Roman"/>
          <w:b/>
          <w:sz w:val="23"/>
          <w:szCs w:val="23"/>
        </w:rPr>
        <w:t>зобов’язаньТовариства</w:t>
      </w:r>
      <w:proofErr w:type="spellEnd"/>
      <w:r w:rsidRPr="00CE67BA">
        <w:rPr>
          <w:rFonts w:eastAsia="Times New Roman"/>
          <w:b/>
          <w:sz w:val="23"/>
          <w:szCs w:val="23"/>
        </w:rPr>
        <w:t xml:space="preserve">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Поточні зобов’язання – це зобов’язання, які відповідають одній або декільком із нижченаведених ознак:</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Товариство сподівається погасити зобов’язання або зобов’язання підлягає погашенню протягом дванадцяти місяців після звітного періоду;</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Товариство не має безумовного права відстрочити погашення зобов’язання упродовж щонайменше 12 місяців після звітного періоду.</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Поточні зобов’язання визнаються за умови відповідності визначенню і критеріям визнання зобов’язань.</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Первісна та подальша оцінка поточних зобов’язань здійснюється за справедливою вартістю з відображенням переоцінки у прибутку чи збитку.</w:t>
      </w:r>
    </w:p>
    <w:p w:rsidR="004664B8" w:rsidRPr="00CE67BA" w:rsidRDefault="004664B8" w:rsidP="004664B8">
      <w:pPr>
        <w:spacing w:line="240" w:lineRule="auto"/>
        <w:ind w:firstLine="0"/>
        <w:rPr>
          <w:rFonts w:eastAsia="Times New Roman"/>
          <w:b/>
          <w:sz w:val="23"/>
          <w:szCs w:val="23"/>
        </w:rPr>
      </w:pPr>
      <w:r w:rsidRPr="00CE67BA">
        <w:rPr>
          <w:rFonts w:eastAsia="Times New Roman"/>
          <w:b/>
          <w:sz w:val="23"/>
          <w:szCs w:val="23"/>
        </w:rPr>
        <w:t>6. Облікові політки  щодо доходів</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Доходами облікового періоду  у вигляді надходження чи збільшення корисності активів або у вигляді зменшення зобов’язань є збільшення чистих активів, за винятком збільшення, пов’язаного з внесками учасників.</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Дохід визнається у звіті про прибутки та збитки за умови відповідності визначенню та критеріям визнання. Це, власне, означає, що визнання доходу відбувається одночасно з визнанням збільшення активів або зменшення зобов’язань.</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lastRenderedPageBreak/>
        <w:t xml:space="preserve">Дохід  від продажу товарів визнається в разі задоволення всіх наведених далі умов: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а) Товариство передало покупцеві суттєві ризики і винагороди, пов'язані з власністю на товар;</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б) за Товариством не залишається ані подальша участь управлінського персоналу у формі, яка, як правило, пов'язана з володінням, ані ефективний контроль за проданими товарами;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в) суму доходу можна достовірно оцінити;</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г) ймовірно, що до Товариства  надійдуть економічні вигоди, пов'язані з операцією;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ґ) витрати, які були або будуть понесені у зв'язку з операцією, можна достовірно оцінити.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Дохід від виконання послуг визнається як той що підлягає отриманню, і визначається на дату отримання коштів від клієнта за отримання фінансового кредиту під заставу майна, у разі задоволення всіх наведених далі умов: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а) можна достовірно оцінити суму доходу;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б) є ймовірність надходження економічних вигід, пов'язаних з операцією; </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 xml:space="preserve">в) можна достовірно оцінити ступінь завершеності операції на кінець звітного періоду; та </w:t>
      </w:r>
    </w:p>
    <w:p w:rsidR="004664B8" w:rsidRPr="00CE67BA" w:rsidRDefault="004664B8" w:rsidP="004664B8">
      <w:pPr>
        <w:spacing w:line="240" w:lineRule="auto"/>
        <w:ind w:firstLine="0"/>
        <w:rPr>
          <w:rFonts w:eastAsia="Times New Roman"/>
          <w:b/>
          <w:sz w:val="24"/>
          <w:szCs w:val="24"/>
        </w:rPr>
      </w:pPr>
      <w:r w:rsidRPr="00CE67BA">
        <w:rPr>
          <w:rFonts w:eastAsia="Times New Roman"/>
          <w:sz w:val="24"/>
          <w:szCs w:val="24"/>
        </w:rPr>
        <w:t xml:space="preserve">г) можна достовірно оцінити витрати, понесені у зв'язку з операцією, та витрати, необхідні для її завершення. </w:t>
      </w:r>
    </w:p>
    <w:p w:rsidR="004664B8" w:rsidRPr="00CE67BA" w:rsidRDefault="004664B8" w:rsidP="004664B8">
      <w:pPr>
        <w:spacing w:line="240" w:lineRule="auto"/>
        <w:ind w:firstLine="360"/>
        <w:rPr>
          <w:rFonts w:eastAsia="Times New Roman"/>
          <w:b/>
          <w:sz w:val="23"/>
          <w:szCs w:val="23"/>
        </w:rPr>
      </w:pPr>
      <w:r w:rsidRPr="00CE67BA">
        <w:rPr>
          <w:rFonts w:eastAsia="Times New Roman"/>
          <w:b/>
          <w:sz w:val="23"/>
          <w:szCs w:val="23"/>
        </w:rPr>
        <w:t>7. Облікові політки  щодо витрат</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Витрати – це зменшення економічних вигід протягом облікового періоду у вигляді вибуття чи амортизації активів або у вигляді виникнення зобов’язань, результатом чого є зменшення чистих активів, за винятком зменшення, пов’язаного з виплатами учасникам.</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Витрати визнаються у звіті про прибутки та збитки за умови відповідності визначенню та одночасно з визнанням збільшення зобов’язань або зменшення активів.</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Витрати визнаються у звіті про прибутки та збитки, коли видатки не надають майбутніх економічних вигід або тоді та тією мірою, якою майбутні економічні вигоди не відповідають або перестають відповідати визнанню як активу у звіті про фінансовий стан.</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Витрати визнаються у звіті про прибутки та збитки також у тих випадках, коли виникають зобов’язання без визнання активу.</w:t>
      </w:r>
    </w:p>
    <w:p w:rsidR="004664B8" w:rsidRPr="00CE67BA" w:rsidRDefault="004664B8" w:rsidP="004664B8">
      <w:pPr>
        <w:spacing w:line="240" w:lineRule="auto"/>
        <w:ind w:firstLine="360"/>
        <w:rPr>
          <w:rFonts w:eastAsia="Times New Roman"/>
          <w:b/>
          <w:sz w:val="24"/>
          <w:szCs w:val="24"/>
        </w:rPr>
      </w:pPr>
      <w:r w:rsidRPr="00CE67BA">
        <w:rPr>
          <w:rFonts w:eastAsia="Times New Roman"/>
          <w:b/>
          <w:sz w:val="24"/>
          <w:szCs w:val="24"/>
        </w:rPr>
        <w:t>8. Інші застосовані облікові політики, що є доречними для розуміння фінансової звітності</w:t>
      </w:r>
    </w:p>
    <w:p w:rsidR="004664B8" w:rsidRPr="00CE67BA" w:rsidRDefault="004664B8" w:rsidP="004664B8">
      <w:pPr>
        <w:spacing w:line="240" w:lineRule="auto"/>
        <w:ind w:firstLine="0"/>
        <w:rPr>
          <w:rFonts w:eastAsia="Times New Roman"/>
          <w:sz w:val="24"/>
          <w:szCs w:val="24"/>
        </w:rPr>
      </w:pPr>
      <w:r w:rsidRPr="00CE67BA">
        <w:rPr>
          <w:rFonts w:eastAsia="Times New Roman"/>
          <w:sz w:val="24"/>
          <w:szCs w:val="24"/>
        </w:rPr>
        <w:t>Питання, не врегульовані цією обліковою політикою, регулюються відповідно до МСФЗ та чинного законодавства України.</w:t>
      </w:r>
    </w:p>
    <w:p w:rsidR="004664B8" w:rsidRPr="00CE67BA" w:rsidRDefault="004664B8" w:rsidP="004664B8">
      <w:pPr>
        <w:framePr w:hSpace="180" w:wrap="around" w:vAnchor="text" w:hAnchor="text" w:y="1"/>
        <w:spacing w:line="240" w:lineRule="auto"/>
        <w:ind w:firstLine="0"/>
        <w:suppressOverlap/>
        <w:rPr>
          <w:rFonts w:eastAsia="Times New Roman"/>
          <w:sz w:val="24"/>
          <w:szCs w:val="24"/>
        </w:rPr>
      </w:pPr>
      <w:r w:rsidRPr="00CE67BA">
        <w:rPr>
          <w:rFonts w:eastAsia="Times New Roman"/>
          <w:sz w:val="24"/>
          <w:szCs w:val="24"/>
        </w:rPr>
        <w:t>Прийнята облікова політика застосовується для повного пакету фінансової звітності Товариства за МСФЗ. Протягом 2016 року облікова політика Товариства застосовувалась послідовно до всіх операцій.</w:t>
      </w:r>
    </w:p>
    <w:p w:rsidR="004664B8" w:rsidRPr="00CE67BA" w:rsidRDefault="004664B8" w:rsidP="004664B8">
      <w:pPr>
        <w:framePr w:hSpace="180" w:wrap="around" w:vAnchor="text" w:hAnchor="text" w:y="1"/>
        <w:spacing w:line="240" w:lineRule="auto"/>
        <w:ind w:firstLine="0"/>
        <w:suppressOverlap/>
        <w:rPr>
          <w:rFonts w:eastAsia="Times New Roman"/>
          <w:sz w:val="24"/>
          <w:szCs w:val="24"/>
        </w:rPr>
      </w:pPr>
      <w:r w:rsidRPr="00CE67BA">
        <w:rPr>
          <w:rFonts w:eastAsia="Times New Roman"/>
          <w:sz w:val="24"/>
          <w:szCs w:val="24"/>
        </w:rPr>
        <w:t>Зміни і доповнення до облікової політики Товариства можуть бути внесені виключно якщо:</w:t>
      </w:r>
    </w:p>
    <w:p w:rsidR="004664B8" w:rsidRPr="00CE67BA" w:rsidRDefault="004664B8" w:rsidP="004664B8">
      <w:pPr>
        <w:framePr w:hSpace="180" w:wrap="around" w:vAnchor="text" w:hAnchor="text" w:y="1"/>
        <w:spacing w:line="240" w:lineRule="auto"/>
        <w:ind w:firstLine="0"/>
        <w:suppressOverlap/>
        <w:rPr>
          <w:rFonts w:eastAsia="Times New Roman"/>
          <w:sz w:val="24"/>
          <w:szCs w:val="24"/>
        </w:rPr>
      </w:pPr>
      <w:r w:rsidRPr="00CE67BA">
        <w:rPr>
          <w:rFonts w:eastAsia="Times New Roman"/>
          <w:sz w:val="24"/>
          <w:szCs w:val="24"/>
        </w:rPr>
        <w:t>а) вимагається МСФЗ, або</w:t>
      </w:r>
    </w:p>
    <w:p w:rsidR="004664B8" w:rsidRPr="00CE67BA" w:rsidRDefault="004664B8" w:rsidP="00CE67BA">
      <w:pPr>
        <w:spacing w:line="240" w:lineRule="auto"/>
        <w:ind w:firstLine="0"/>
        <w:rPr>
          <w:rFonts w:eastAsia="Times New Roman"/>
          <w:b/>
          <w:sz w:val="24"/>
          <w:szCs w:val="24"/>
        </w:rPr>
      </w:pPr>
      <w:bookmarkStart w:id="9" w:name="n60"/>
      <w:bookmarkEnd w:id="9"/>
      <w:r w:rsidRPr="00CE67BA">
        <w:rPr>
          <w:rFonts w:eastAsia="Times New Roman"/>
          <w:sz w:val="24"/>
          <w:szCs w:val="24"/>
        </w:rPr>
        <w:t>б) призводить до того, що фінансова звітність надає достовірну та доречнішу інформацію про вплив операцій, інших подій або умов на фінансовий стан, фінансові результати діяльності або грошові потоки суб'єкта господарювання.</w:t>
      </w:r>
    </w:p>
    <w:p w:rsidR="004664B8" w:rsidRPr="00CE67BA" w:rsidRDefault="004664B8" w:rsidP="004664B8">
      <w:pPr>
        <w:spacing w:line="240" w:lineRule="auto"/>
        <w:ind w:firstLine="360"/>
        <w:rPr>
          <w:rFonts w:eastAsia="Times New Roman"/>
          <w:b/>
          <w:sz w:val="24"/>
          <w:szCs w:val="24"/>
        </w:rPr>
      </w:pPr>
      <w:r w:rsidRPr="00CE67BA">
        <w:rPr>
          <w:rFonts w:eastAsia="Times New Roman"/>
          <w:b/>
          <w:sz w:val="24"/>
          <w:szCs w:val="24"/>
        </w:rPr>
        <w:t>9. Нові та переглянуті стандарти та інтерпретації; стандарти, які були випущені, але ще не вступили в силу</w:t>
      </w:r>
    </w:p>
    <w:p w:rsidR="004664B8" w:rsidRPr="00CE67BA" w:rsidRDefault="004664B8" w:rsidP="004664B8">
      <w:pPr>
        <w:pStyle w:val="rvps2"/>
        <w:shd w:val="clear" w:color="auto" w:fill="FFFFFF"/>
        <w:spacing w:before="60" w:beforeAutospacing="0" w:after="0" w:afterAutospacing="0"/>
        <w:textAlignment w:val="baseline"/>
      </w:pPr>
      <w:r w:rsidRPr="00CE67BA">
        <w:t xml:space="preserve">Згідно із Законом України «Про бухгалтерський облік та фінансову звітність в Україні» для складання фінансової звітності застосовуються МСФЗ, які офіційно оприлюднені на </w:t>
      </w:r>
      <w:proofErr w:type="spellStart"/>
      <w:r w:rsidRPr="00CE67BA">
        <w:t>веб-сайті</w:t>
      </w:r>
      <w:proofErr w:type="spellEnd"/>
      <w:r w:rsidRPr="00CE67BA">
        <w:t xml:space="preserve"> Міністерства фінансів України.</w:t>
      </w:r>
    </w:p>
    <w:p w:rsidR="004664B8" w:rsidRPr="00CE67BA" w:rsidRDefault="004664B8" w:rsidP="004664B8">
      <w:pPr>
        <w:pStyle w:val="rvps2"/>
        <w:shd w:val="clear" w:color="auto" w:fill="FFFFFF"/>
        <w:spacing w:before="60" w:beforeAutospacing="0" w:after="0" w:afterAutospacing="0"/>
        <w:textAlignment w:val="baseline"/>
      </w:pPr>
      <w:r w:rsidRPr="00CE67BA">
        <w:t>Товариство проаналізувало вплив на фінансову звітність поправок до МСФЗ, які є обов’язковими до застосування в звітному періоді, зокрема:</w:t>
      </w:r>
    </w:p>
    <w:p w:rsidR="004664B8" w:rsidRPr="00CE67BA" w:rsidRDefault="004664B8" w:rsidP="004664B8">
      <w:pPr>
        <w:pStyle w:val="rvps2"/>
        <w:shd w:val="clear" w:color="auto" w:fill="FFFFFF"/>
        <w:spacing w:before="60" w:beforeAutospacing="0" w:after="0" w:afterAutospacing="0"/>
        <w:textAlignment w:val="baseline"/>
      </w:pPr>
      <w:r w:rsidRPr="00CE67BA">
        <w:rPr>
          <w:u w:val="single"/>
        </w:rPr>
        <w:t>Щодо щорічних удосконалень МСФЗ</w:t>
      </w:r>
      <w:r w:rsidRPr="00CE67BA">
        <w:t xml:space="preserve"> (випущені 25 вересня 2014 року і вступають в силу з 1 січня 2016 року і пізніше). Рада МСФЗ прийняла п'ять важливих поправок, які можуть вплинути на звітність суб'єкта господарювання. </w:t>
      </w:r>
    </w:p>
    <w:p w:rsidR="004664B8" w:rsidRPr="00CE67BA" w:rsidRDefault="004664B8" w:rsidP="004664B8">
      <w:pPr>
        <w:pStyle w:val="rvps2"/>
        <w:shd w:val="clear" w:color="auto" w:fill="FFFFFF"/>
        <w:spacing w:before="60" w:beforeAutospacing="0" w:after="0" w:afterAutospacing="0"/>
        <w:textAlignment w:val="baseline"/>
      </w:pPr>
      <w:r w:rsidRPr="00CE67BA">
        <w:rPr>
          <w:i/>
        </w:rPr>
        <w:t>Перша поправка</w:t>
      </w:r>
      <w:r w:rsidRPr="00CE67BA">
        <w:t xml:space="preserve"> стосується МСФЗ 5 «</w:t>
      </w:r>
      <w:proofErr w:type="spellStart"/>
      <w:r w:rsidRPr="00CE67BA">
        <w:t>Непоточні</w:t>
      </w:r>
      <w:proofErr w:type="spellEnd"/>
      <w:r w:rsidRPr="00CE67BA">
        <w:t xml:space="preserve"> активи, утримувані для продажу, та припинена діяльність» та присвячена зміні способу вибуття активів, призначених для продажу. Були внесені поправки, що роз'яснюють, що </w:t>
      </w:r>
      <w:proofErr w:type="spellStart"/>
      <w:r w:rsidRPr="00CE67BA">
        <w:t>перекласифікація</w:t>
      </w:r>
      <w:proofErr w:type="spellEnd"/>
      <w:r w:rsidRPr="00CE67BA">
        <w:t xml:space="preserve"> активу (або </w:t>
      </w:r>
      <w:r w:rsidRPr="00CE67BA">
        <w:lastRenderedPageBreak/>
        <w:t>ліквідаційної групи) з категорії "призначені для продажу" в категорію "призначені для розподілу власникам" або навпаки, не змінює суті початкових планів на вибуття. Відповідно, суб'єкти господарювання можуть застосовувати всі вимоги (за класифікацією, поданням і оцінці) стандарту, доречні для категорії "призначені для продажу"</w:t>
      </w:r>
    </w:p>
    <w:p w:rsidR="004664B8" w:rsidRPr="00CE67BA" w:rsidRDefault="004664B8" w:rsidP="004664B8">
      <w:pPr>
        <w:pStyle w:val="rvps2"/>
        <w:shd w:val="clear" w:color="auto" w:fill="FFFFFF"/>
        <w:spacing w:before="60" w:beforeAutospacing="0" w:after="0" w:afterAutospacing="0"/>
        <w:textAlignment w:val="baseline"/>
      </w:pPr>
      <w:r w:rsidRPr="00CE67BA">
        <w:rPr>
          <w:i/>
        </w:rPr>
        <w:t>Друга і третя поправки</w:t>
      </w:r>
      <w:r w:rsidRPr="00CE67BA">
        <w:t xml:space="preserve"> зачіпають МСФЗ 7 «Фінансові інструменти: розкриття інформації». У МСФЗ 7 є пункт, згідно з яким суб'єкт господарювання повинен розкривати інформацію про будь-яку триваючу участь в переданому фінансовому активі, навіть якщо він вже не визнається в її балансі. Були внесені поправки, що роз'яснюють обставини, при яких суб'єкт господарювання зберігає за собою право на обслуговування переданого фінансового активу (подальша участь). Прийняті роз'яснення необхідні при врахуванні вимог припинення визнання МСФЗ 39 "Фінансові інструменти: визнання та оцінка" і МСФЗ 9 "Фінансові інструменти".</w:t>
      </w:r>
    </w:p>
    <w:p w:rsidR="004664B8" w:rsidRPr="00CE67BA" w:rsidRDefault="004664B8" w:rsidP="004664B8">
      <w:pPr>
        <w:pStyle w:val="rvps2"/>
        <w:shd w:val="clear" w:color="auto" w:fill="FFFFFF"/>
        <w:spacing w:before="60" w:beforeAutospacing="0" w:after="0" w:afterAutospacing="0"/>
        <w:textAlignment w:val="baseline"/>
      </w:pPr>
      <w:r w:rsidRPr="00CE67BA">
        <w:rPr>
          <w:i/>
        </w:rPr>
        <w:t>Ще одна поправка</w:t>
      </w:r>
      <w:r w:rsidRPr="00CE67BA">
        <w:t>, що стосується МСФЗ 7 «Фінансові інструменти: розкриття інформації», роз'яснює, що для всіх проміжних звітних періодів додаткові розкриття про взаємозалік фінансових активів та фінансових зобов'язань потрібні тоді, коли факт такого взаємозаліку значний для розуміння змін у фінансовому становищі і фінансові результати суб'єкта господарювання.</w:t>
      </w:r>
    </w:p>
    <w:p w:rsidR="004664B8" w:rsidRPr="00CE67BA" w:rsidRDefault="004664B8" w:rsidP="004664B8">
      <w:pPr>
        <w:pStyle w:val="rvps2"/>
        <w:shd w:val="clear" w:color="auto" w:fill="FFFFFF"/>
        <w:spacing w:before="60" w:beforeAutospacing="0" w:after="0" w:afterAutospacing="0"/>
        <w:textAlignment w:val="baseline"/>
      </w:pPr>
      <w:r w:rsidRPr="00CE67BA">
        <w:rPr>
          <w:i/>
        </w:rPr>
        <w:t>Четверта поправка</w:t>
      </w:r>
      <w:r w:rsidRPr="00CE67BA">
        <w:t xml:space="preserve"> відноситься до застосування МСФЗ 19 «Виплати працівникам», який вимагає від суб'єкта господарювання визнавати зобов'язання щодо програм пенсійного забезпечення з визначеною виплатою. Ці зобов'язання повинні бути </w:t>
      </w:r>
      <w:proofErr w:type="spellStart"/>
      <w:r w:rsidRPr="00CE67BA">
        <w:t>дисконтовані</w:t>
      </w:r>
      <w:proofErr w:type="spellEnd"/>
      <w:r w:rsidRPr="00CE67BA">
        <w:t xml:space="preserve"> з використанням ставки, визначеної на основі ринкової дохідності високоякісних корпоративних облігацій, або, якщо відсутня досить розвинений ринок такого роду облігацій, з використанням ставки за державними облігаціями. Дана поправка роз'яснює, що для визначення ставки дисконтування зобов'язань необхідно ґрунтуватися на високоякісних корпоративних облігаціях, виражених в тій же валюті, що й зобов'язання плану, а не на ставках корпоративних облігацій тієї країни, в якій зобов'язання виникли. </w:t>
      </w:r>
    </w:p>
    <w:p w:rsidR="004664B8" w:rsidRPr="00CE67BA" w:rsidRDefault="004664B8" w:rsidP="004664B8">
      <w:pPr>
        <w:pStyle w:val="rvps2"/>
        <w:shd w:val="clear" w:color="auto" w:fill="FFFFFF"/>
        <w:spacing w:before="60" w:beforeAutospacing="0" w:after="0" w:afterAutospacing="0"/>
        <w:textAlignment w:val="baseline"/>
      </w:pPr>
      <w:r w:rsidRPr="00CE67BA">
        <w:rPr>
          <w:u w:val="single"/>
        </w:rPr>
        <w:t>Щодо МСБО 16 «Основні засоби» та МСБО 38 «Нематеріальні активи»</w:t>
      </w:r>
      <w:r w:rsidRPr="00CE67BA">
        <w:t>. Поправки в зазначені МСФЗ роз'яснюють, що застосування методу амортизації, заснованого на виручці, не допускається, оскільки виручка, що генерується в результаті діяльності, в якій використано актив, як правило, відображає фактори, відмінні від споживання укладених в даному активі економічних вигід.</w:t>
      </w:r>
    </w:p>
    <w:p w:rsidR="004664B8" w:rsidRPr="00CE67BA" w:rsidRDefault="004664B8" w:rsidP="004664B8">
      <w:pPr>
        <w:pStyle w:val="rvps2"/>
        <w:shd w:val="clear" w:color="auto" w:fill="FFFFFF"/>
        <w:spacing w:before="60" w:beforeAutospacing="0" w:after="0" w:afterAutospacing="0"/>
        <w:textAlignment w:val="baseline"/>
      </w:pPr>
      <w:r w:rsidRPr="00CE67BA">
        <w:rPr>
          <w:u w:val="single"/>
        </w:rPr>
        <w:t>Щодо МСБО 1 «Подання фінансової звітності».</w:t>
      </w:r>
      <w:r w:rsidRPr="00CE67BA">
        <w:t xml:space="preserve"> Поправки в рамках ініціативи в сфері розкриття інформації. Основна мета поправок - спонукати суб'єктів господарювання (і інші сторони, задіяні в підготовці і огляді фінансової звітності) до того, щоб вимоги до подання та розкриття інформації у фінансовій звітності були ретельно зважені за допомогою застосування професійного судження (в тому числі з урахуванням дотримання принципів суттєвості, зрозумілості і порівнянності). Найбільш важливим, мабуть є уточнення про те, що правило представлення в звіті тільки істотних статей відноситься так само і до приміток. Також правки до МСБО 1 «Подання фінансової звітності» роз'яснили правила представлення в звітності проміжних підсумкових статей. Неприпустимим є розділення тих статей, які прямо наказані стандартом до представлення в звітах. Крім того, уточнений формат представлення показників іншого сукупного доходу.</w:t>
      </w:r>
    </w:p>
    <w:p w:rsidR="004664B8" w:rsidRPr="00CE67BA" w:rsidRDefault="004664B8" w:rsidP="004664B8">
      <w:pPr>
        <w:pStyle w:val="rvps2"/>
        <w:shd w:val="clear" w:color="auto" w:fill="FFFFFF"/>
        <w:spacing w:before="60" w:beforeAutospacing="0" w:after="0" w:afterAutospacing="0"/>
        <w:textAlignment w:val="baseline"/>
      </w:pPr>
      <w:r w:rsidRPr="00CE67BA">
        <w:rPr>
          <w:u w:val="single"/>
        </w:rPr>
        <w:t>Щодо інших нових та переглянутих МСФЗ</w:t>
      </w:r>
      <w:r w:rsidRPr="00CE67BA">
        <w:t xml:space="preserve"> які мають вузьку сферу застосування і не мають відношення до діяльності Товариства.</w:t>
      </w:r>
    </w:p>
    <w:p w:rsidR="004664B8" w:rsidRPr="00CE67BA" w:rsidRDefault="004664B8" w:rsidP="004664B8">
      <w:pPr>
        <w:pStyle w:val="rvps2"/>
        <w:shd w:val="clear" w:color="auto" w:fill="FFFFFF"/>
        <w:spacing w:before="60" w:beforeAutospacing="0" w:after="0" w:afterAutospacing="0"/>
        <w:textAlignment w:val="baseline"/>
      </w:pPr>
      <w:r w:rsidRPr="00CE67BA">
        <w:t>Вищезазначені поправки не мали впливу на фінансове положення Товариства. Крім цього, багато із розглянутих змін ще не враховані в текстах МСФЗ українською мовою, запропонованих Мінфіном.</w:t>
      </w:r>
    </w:p>
    <w:p w:rsidR="004664B8" w:rsidRPr="00CE67BA" w:rsidRDefault="004664B8" w:rsidP="004664B8">
      <w:pPr>
        <w:pStyle w:val="rvps2"/>
        <w:shd w:val="clear" w:color="auto" w:fill="FFFFFF"/>
        <w:spacing w:before="60" w:beforeAutospacing="0" w:after="0" w:afterAutospacing="0"/>
        <w:textAlignment w:val="baseline"/>
      </w:pPr>
      <w:r w:rsidRPr="00CE67BA">
        <w:t>Нижче наведені стандарти та інтерпретації, які є обов'язковими для періоду, що починається з наступного за звітним, або після цієї дати і які Товариство ще не застосовує достроково.</w:t>
      </w:r>
    </w:p>
    <w:p w:rsidR="004664B8" w:rsidRPr="00CE67BA" w:rsidRDefault="004664B8" w:rsidP="004664B8">
      <w:pPr>
        <w:pStyle w:val="rvps2"/>
        <w:shd w:val="clear" w:color="auto" w:fill="FFFFFF"/>
        <w:spacing w:before="60" w:beforeAutospacing="0" w:after="0" w:afterAutospacing="0"/>
        <w:textAlignment w:val="baseline"/>
      </w:pPr>
      <w:r w:rsidRPr="00CE67BA">
        <w:lastRenderedPageBreak/>
        <w:t>У липні 2014 року випущена редакція МСФЗ 9 «Фінансові інструменти», яка застосовується для складання звітності за річні періоди, що починаються з/після 1-го січня 2018 року.</w:t>
      </w:r>
    </w:p>
    <w:p w:rsidR="004664B8" w:rsidRPr="00CE67BA" w:rsidRDefault="004664B8" w:rsidP="004664B8">
      <w:pPr>
        <w:pStyle w:val="rvps2"/>
        <w:shd w:val="clear" w:color="auto" w:fill="FFFFFF"/>
        <w:spacing w:before="60" w:beforeAutospacing="0" w:after="0" w:afterAutospacing="0"/>
        <w:textAlignment w:val="baseline"/>
      </w:pPr>
      <w:r w:rsidRPr="00CE67BA">
        <w:t>Найбільшою відмінністю нового стандарту від нині чинних правил МСБО 39 «Фінансові інструменти: визнання та оцінка» стане облік знецінення (зменшення корисності фінансових інструментів). Ці зміни передусім стосуються змін моделі оцінки понесених втрат, а саме модель понесених втрат замінюється моделлю очікуваних втрат.</w:t>
      </w:r>
    </w:p>
    <w:p w:rsidR="004664B8" w:rsidRPr="00CE67BA" w:rsidRDefault="004664B8" w:rsidP="004664B8">
      <w:pPr>
        <w:pStyle w:val="rvps2"/>
        <w:shd w:val="clear" w:color="auto" w:fill="FFFFFF"/>
        <w:spacing w:before="60" w:beforeAutospacing="0" w:after="0" w:afterAutospacing="0"/>
        <w:textAlignment w:val="baseline"/>
      </w:pPr>
      <w:r w:rsidRPr="00CE67BA">
        <w:t>Менш значні зміни відносяться до сфер класифікації і оцінки фінансових інструментів.</w:t>
      </w:r>
    </w:p>
    <w:p w:rsidR="004664B8" w:rsidRPr="00CE67BA" w:rsidRDefault="004664B8" w:rsidP="004664B8">
      <w:pPr>
        <w:pStyle w:val="rvps2"/>
        <w:shd w:val="clear" w:color="auto" w:fill="FFFFFF"/>
        <w:spacing w:before="60" w:beforeAutospacing="0" w:after="0" w:afterAutospacing="0"/>
        <w:textAlignment w:val="baseline"/>
      </w:pPr>
      <w:r w:rsidRPr="00CE67BA">
        <w:t xml:space="preserve">Обов'язковим стандарт МСФЗ 9 «Фінансові інструменти» стане лише для звітних річних періодів, що починаються з/після 1 січня 2018 року. </w:t>
      </w:r>
    </w:p>
    <w:p w:rsidR="004664B8" w:rsidRPr="00CE67BA" w:rsidRDefault="004664B8" w:rsidP="004664B8">
      <w:pPr>
        <w:pStyle w:val="rvps2"/>
        <w:shd w:val="clear" w:color="auto" w:fill="FFFFFF"/>
        <w:spacing w:before="60" w:beforeAutospacing="0" w:after="0" w:afterAutospacing="0"/>
        <w:textAlignment w:val="baseline"/>
      </w:pPr>
      <w:r w:rsidRPr="00CE67BA">
        <w:t>26 вересня 2016 року Рада з МСФЗ випустила поправки до МСФЗ 4 "Страхові контракти", спрямовані на питання, пов'язані з різними датами вступу в силу МСФЗ 9 і нового стандарту щодо договорів страхування, який замінить МСФЗ 4.</w:t>
      </w:r>
    </w:p>
    <w:p w:rsidR="004664B8" w:rsidRPr="00CE67BA" w:rsidRDefault="004664B8" w:rsidP="004664B8">
      <w:pPr>
        <w:pStyle w:val="rvps2"/>
        <w:shd w:val="clear" w:color="auto" w:fill="FFFFFF"/>
        <w:spacing w:before="60" w:beforeAutospacing="0" w:after="0" w:afterAutospacing="0"/>
        <w:textAlignment w:val="baseline"/>
      </w:pPr>
      <w:r w:rsidRPr="00CE67BA">
        <w:t>Дана поправка надає організаціям, відповідним критерієм участі, переважно, в страховій діяльності, можливість продовжити застосування поточного обліку по МСФЗ і відкласти застосування МСФЗ 9 до найближчої з наступних дат: початку застосування нового стандарту в області страхування або періодів, що починаються 1 січня 2021 року або пізніше ( «Положення про закінчення терміну дії»).</w:t>
      </w:r>
    </w:p>
    <w:p w:rsidR="004664B8" w:rsidRPr="00CE67BA" w:rsidRDefault="004664B8" w:rsidP="004664B8">
      <w:pPr>
        <w:pStyle w:val="rvps2"/>
        <w:shd w:val="clear" w:color="auto" w:fill="FFFFFF"/>
        <w:spacing w:before="60" w:beforeAutospacing="0" w:after="0" w:afterAutospacing="0"/>
        <w:textAlignment w:val="baseline"/>
      </w:pPr>
      <w:r w:rsidRPr="00CE67BA">
        <w:t>6 липня 2016 року Рада з МСФЗ внесла поправки до МСФЗ 2 «Виплати на основі акцій», пов'язані з класифікацією й оцінкою операцій з виплат, заснованим на акціях.</w:t>
      </w:r>
    </w:p>
    <w:p w:rsidR="004664B8" w:rsidRPr="00CE67BA" w:rsidRDefault="004664B8" w:rsidP="004664B8">
      <w:pPr>
        <w:pStyle w:val="rvps2"/>
        <w:shd w:val="clear" w:color="auto" w:fill="FFFFFF"/>
        <w:spacing w:before="60" w:beforeAutospacing="0" w:after="0" w:afterAutospacing="0"/>
        <w:textAlignment w:val="baseline"/>
      </w:pPr>
      <w:r w:rsidRPr="00CE67BA">
        <w:t>26 квітня 2016 року Рада з МСФЗ внесла роз'яснення до МСФЗ 15 «Виручка за договорами з покупцями».</w:t>
      </w:r>
    </w:p>
    <w:p w:rsidR="004664B8" w:rsidRPr="00CE67BA" w:rsidRDefault="004664B8" w:rsidP="004664B8">
      <w:pPr>
        <w:pStyle w:val="rvps2"/>
        <w:shd w:val="clear" w:color="auto" w:fill="FFFFFF"/>
        <w:spacing w:before="60" w:beforeAutospacing="0" w:after="0" w:afterAutospacing="0"/>
        <w:textAlignment w:val="baseline"/>
      </w:pPr>
      <w:r w:rsidRPr="00CE67BA">
        <w:t>10 лютого 2016 року Рада з МСФЗ випустила поправки до МСБО 12 «Податки на прибуток», уточнюючі визнання відкладених податкових активів щодо нереалізованих збитків, пов'язаних з борговими інструментами, що оцінюються за справедливою вартістю. У поправках пояснюється, що на підставі нереалізованих збитків за борговими інструментами, оцінюваним за справедливою вартістю у фінансовій звітності, але в цілях оподаткування оцінюваних за собівартістю, можуть виникати тимчасові різниці.</w:t>
      </w:r>
    </w:p>
    <w:p w:rsidR="004664B8" w:rsidRPr="00CE67BA" w:rsidRDefault="004664B8" w:rsidP="004664B8">
      <w:pPr>
        <w:pStyle w:val="rvps2"/>
        <w:shd w:val="clear" w:color="auto" w:fill="FFFFFF"/>
        <w:spacing w:before="60" w:beforeAutospacing="0" w:after="0" w:afterAutospacing="0"/>
        <w:textAlignment w:val="baseline"/>
      </w:pPr>
      <w:r w:rsidRPr="00CE67BA">
        <w:t>10 лютого 2016 року Рада з МСФЗ випустила поправки до МСБО 7 «Звіт про рух грошових коштів», де потрібно розкрити зміни в зобов'язаннях, що випливають з фінансової діяльності. Поправки є частиною ініціативи Ради з МСФЗ щодо розкриття інформації та вводить додаткові вимоги до розкриття, спрямовані на врегулювання стурбованості інвесторів щодо нездатності фінансової звітності в даний час допомогти інвесторам зрозуміти рух грошових коштів в організації, особливо щодо управління фінансовою діяльністю.</w:t>
      </w:r>
    </w:p>
    <w:p w:rsidR="004664B8" w:rsidRPr="00CE67BA" w:rsidRDefault="004664B8" w:rsidP="004664B8">
      <w:pPr>
        <w:pStyle w:val="rvps2"/>
        <w:shd w:val="clear" w:color="auto" w:fill="FFFFFF"/>
        <w:spacing w:before="60" w:beforeAutospacing="0" w:after="0" w:afterAutospacing="0"/>
        <w:textAlignment w:val="baseline"/>
      </w:pPr>
      <w:r w:rsidRPr="00CE67BA">
        <w:t>25 січня 2016 року Рада з МСФЗ випустила МСФЗ 16 «Оренда». Новий стандарт представив єдину модель ідентифікації договорів оренди та порядку їх обліку в фінансовій звітності як орендарів, так і орендодавців. Він замінює МСФЗ 17 «Оренда» і пов'язані з ним керівництва по його інтерпретації.</w:t>
      </w:r>
    </w:p>
    <w:p w:rsidR="004664B8" w:rsidRPr="00CE67BA" w:rsidRDefault="004664B8" w:rsidP="004664B8">
      <w:pPr>
        <w:pStyle w:val="rvps2"/>
        <w:shd w:val="clear" w:color="auto" w:fill="FFFFFF"/>
        <w:spacing w:before="60" w:beforeAutospacing="0" w:after="0" w:afterAutospacing="0"/>
        <w:textAlignment w:val="baseline"/>
      </w:pPr>
      <w:r w:rsidRPr="00CE67BA">
        <w:t>Крім цього, 18 грудня 2014 року Рада з МСФЗ оприлюднила затверджені поправки до міжнародних стандартів. Перший пакет поправок об'єднаний загальною темою - застосування виключення про консолідації відносно інвестиційних підприємств. Цей пакет торкнувся МСБО 28 «Інвестиції в асоційовані та спільні підприємства», МСФЗ 10 «Консолідована фінансова звітність» і МСФЗ 12 «Розкриття інформації про частки участі в інших суб'єктах господарювання». Другий пакет змін був здійснений у рамках Ініціативи по розкриттю. Він торкнувся загальних питань представлення даних згідно МСБО 1 «Подання фінансової звітності». Однак у грудні 2015 року Рада з МСФЗ прийняла рішення відкласти вступ до сили поправок на невизначений термін. При цьому допускається дострокове застосування.</w:t>
      </w:r>
    </w:p>
    <w:p w:rsidR="004664B8" w:rsidRPr="00CE67BA" w:rsidRDefault="004664B8" w:rsidP="004664B8">
      <w:pPr>
        <w:pStyle w:val="rvps2"/>
        <w:shd w:val="clear" w:color="auto" w:fill="FFFFFF"/>
        <w:spacing w:before="60" w:beforeAutospacing="0" w:after="0" w:afterAutospacing="0"/>
        <w:textAlignment w:val="baseline"/>
      </w:pPr>
      <w:r w:rsidRPr="00CE67BA">
        <w:lastRenderedPageBreak/>
        <w:t>Зміни в обов'язковому порядку застосовуються для складання звітів за річні періоди, що починаються з/після 01.01.2017 р., 01.01.2018 р., 01.01.2019 р. Дострокове застосування допускається в добровільному порядку.</w:t>
      </w:r>
    </w:p>
    <w:p w:rsidR="004664B8" w:rsidRPr="00CE67BA" w:rsidRDefault="004664B8" w:rsidP="004664B8">
      <w:pPr>
        <w:pStyle w:val="rvps2"/>
        <w:shd w:val="clear" w:color="auto" w:fill="FFFFFF"/>
        <w:spacing w:before="0" w:beforeAutospacing="0" w:after="0" w:afterAutospacing="0"/>
        <w:ind w:firstLine="709"/>
        <w:textAlignment w:val="baseline"/>
        <w:rPr>
          <w:b/>
          <w:lang w:eastAsia="uk-UA"/>
        </w:rPr>
      </w:pPr>
      <w:r w:rsidRPr="00CE67BA">
        <w:t>Товариство поки не аналізувала ймовірний вплив вищенаведених поправок на свій фінансовий стан та показники діяльності. Крім цього, багато із розглянутих змін ще не враховані в текстах МСФЗ українською мовою, запропонованих Мінфіном</w:t>
      </w:r>
    </w:p>
    <w:p w:rsidR="00CE67BA" w:rsidRPr="00CE67BA" w:rsidRDefault="004664B8" w:rsidP="00CE67BA">
      <w:pPr>
        <w:pStyle w:val="rvps2"/>
        <w:shd w:val="clear" w:color="auto" w:fill="FFFFFF"/>
        <w:spacing w:before="0" w:beforeAutospacing="0" w:after="0" w:afterAutospacing="0"/>
        <w:ind w:firstLine="709"/>
        <w:textAlignment w:val="baseline"/>
        <w:rPr>
          <w:b/>
          <w:lang w:val="ru-RU" w:eastAsia="uk-UA"/>
        </w:rPr>
      </w:pPr>
      <w:r w:rsidRPr="00CE67BA">
        <w:rPr>
          <w:b/>
          <w:lang w:eastAsia="uk-UA"/>
        </w:rPr>
        <w:t>10.Основні бухгалтерські судження, оцінки та припущення</w:t>
      </w:r>
    </w:p>
    <w:p w:rsidR="004664B8" w:rsidRPr="00CE67BA" w:rsidRDefault="004664B8" w:rsidP="00CE67BA">
      <w:pPr>
        <w:pStyle w:val="rvps2"/>
        <w:shd w:val="clear" w:color="auto" w:fill="FFFFFF"/>
        <w:spacing w:before="0" w:beforeAutospacing="0" w:after="0" w:afterAutospacing="0"/>
        <w:ind w:firstLine="709"/>
        <w:textAlignment w:val="baseline"/>
        <w:rPr>
          <w:b/>
          <w:bCs/>
          <w:lang w:eastAsia="uk-UA"/>
        </w:rPr>
      </w:pPr>
      <w:r w:rsidRPr="00CE67BA">
        <w:rPr>
          <w:b/>
          <w:lang w:eastAsia="uk-UA"/>
        </w:rPr>
        <w:t>Судження</w:t>
      </w:r>
    </w:p>
    <w:p w:rsidR="004664B8" w:rsidRPr="00CE67BA" w:rsidRDefault="004664B8" w:rsidP="004664B8">
      <w:pPr>
        <w:pStyle w:val="aa"/>
        <w:spacing w:after="60" w:line="283" w:lineRule="exact"/>
        <w:ind w:left="20" w:right="20"/>
        <w:rPr>
          <w:rFonts w:ascii="Times New Roman" w:hAnsi="Times New Roman"/>
          <w:lang w:eastAsia="uk-UA"/>
        </w:rPr>
      </w:pPr>
      <w:r w:rsidRPr="00CE67BA">
        <w:rPr>
          <w:rFonts w:ascii="Times New Roman" w:hAnsi="Times New Roman"/>
          <w:lang w:eastAsia="uk-UA"/>
        </w:rPr>
        <w:t>Підготовка фінансової звітності Товариства вимагає від його керівництва на кожну звітну дату винесення суджень, визначення оціночних значень і припущень, які впливають на суми виручки, витрат, активів і зобов'язань, що зазначаються у звітності, а також на розкриття інформації про умовні зобов'язання. Однак невизначеність стосовно цих припущень і оціночних значень може призвести до результатів, які можуть вимагати у майбутньому суттєвих коригувань балансової вартості активу або зобов'язання, стосовно яких робляться такі припущення та оцінки.</w:t>
      </w:r>
    </w:p>
    <w:p w:rsidR="004664B8" w:rsidRPr="00CE67BA" w:rsidRDefault="004664B8" w:rsidP="004664B8">
      <w:pPr>
        <w:pStyle w:val="aa"/>
        <w:spacing w:after="0" w:line="283" w:lineRule="exact"/>
        <w:ind w:left="20" w:right="20"/>
        <w:rPr>
          <w:rFonts w:ascii="Times New Roman" w:hAnsi="Times New Roman"/>
          <w:lang w:eastAsia="uk-UA"/>
        </w:rPr>
      </w:pPr>
      <w:r w:rsidRPr="00CE67BA">
        <w:rPr>
          <w:rFonts w:ascii="Times New Roman" w:hAnsi="Times New Roman"/>
          <w:lang w:eastAsia="uk-UA"/>
        </w:rPr>
        <w:t>У процесі застосування облікової політики Товариства керівництво використовувало такі судження, що мають найбільш істотний вплив на суми, визнані у фінансовій звітності:</w:t>
      </w:r>
    </w:p>
    <w:p w:rsidR="004664B8" w:rsidRPr="00CE67BA" w:rsidRDefault="004664B8" w:rsidP="004664B8">
      <w:pPr>
        <w:pStyle w:val="21"/>
        <w:keepNext/>
        <w:keepLines/>
        <w:shd w:val="clear" w:color="auto" w:fill="auto"/>
        <w:spacing w:after="58" w:line="200" w:lineRule="exact"/>
        <w:ind w:left="20"/>
        <w:rPr>
          <w:rFonts w:ascii="Times New Roman" w:hAnsi="Times New Roman"/>
          <w:b w:val="0"/>
          <w:bCs w:val="0"/>
          <w:noProof w:val="0"/>
          <w:sz w:val="24"/>
          <w:szCs w:val="24"/>
          <w:lang w:val="uk-UA" w:eastAsia="uk-UA"/>
        </w:rPr>
      </w:pPr>
    </w:p>
    <w:p w:rsidR="004664B8" w:rsidRPr="00CE67BA" w:rsidRDefault="004664B8" w:rsidP="004664B8">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r w:rsidRPr="00CE67BA">
        <w:rPr>
          <w:rFonts w:ascii="Times New Roman" w:hAnsi="Times New Roman"/>
          <w:bCs w:val="0"/>
          <w:noProof w:val="0"/>
          <w:sz w:val="24"/>
          <w:szCs w:val="24"/>
          <w:lang w:val="uk-UA" w:eastAsia="uk-UA"/>
        </w:rPr>
        <w:t>Ризики пов'язані з вимогами податкового та іншого законодавства</w:t>
      </w:r>
    </w:p>
    <w:p w:rsidR="004664B8" w:rsidRPr="00CE67BA" w:rsidRDefault="004664B8" w:rsidP="004664B8">
      <w:pPr>
        <w:pStyle w:val="aa"/>
        <w:spacing w:after="127" w:line="283" w:lineRule="exact"/>
        <w:ind w:left="20" w:right="20"/>
        <w:rPr>
          <w:rFonts w:ascii="Times New Roman" w:hAnsi="Times New Roman"/>
          <w:lang w:eastAsia="uk-UA"/>
        </w:rPr>
      </w:pPr>
      <w:r w:rsidRPr="00CE67BA">
        <w:rPr>
          <w:rFonts w:ascii="Times New Roman" w:hAnsi="Times New Roman"/>
          <w:lang w:eastAsia="uk-UA"/>
        </w:rPr>
        <w:t>Українське законодавство щодо оподаткування та здійснення господарської діяльності включаючи контроль за валютними та митними операціями продовжує розвиватися. Законодавчі та нормативні акти не завжди чітко сформульовані, а їх інтерпретація залежить від точки зору місцевих обласних і центральних органів державної влади та інших органів державного управління. Нерідко точки зору різних органів на певне питання відрізняються. Керівництво вважає, що Товариство дотримувалось всіх нормативних положень і всі передбачені законодавством податки та відрахування були сплачені або нараховані.</w:t>
      </w:r>
    </w:p>
    <w:p w:rsidR="004664B8" w:rsidRPr="00CE67BA" w:rsidRDefault="004664B8" w:rsidP="004664B8">
      <w:pPr>
        <w:pStyle w:val="21"/>
        <w:keepNext/>
        <w:keepLines/>
        <w:shd w:val="clear" w:color="auto" w:fill="auto"/>
        <w:spacing w:after="63" w:line="200" w:lineRule="exact"/>
        <w:ind w:left="20"/>
        <w:rPr>
          <w:rFonts w:ascii="Times New Roman" w:hAnsi="Times New Roman"/>
          <w:bCs w:val="0"/>
          <w:noProof w:val="0"/>
          <w:sz w:val="24"/>
          <w:szCs w:val="24"/>
          <w:lang w:val="uk-UA" w:eastAsia="uk-UA"/>
        </w:rPr>
      </w:pPr>
      <w:r w:rsidRPr="00CE67BA">
        <w:rPr>
          <w:rFonts w:ascii="Times New Roman" w:hAnsi="Times New Roman"/>
          <w:bCs w:val="0"/>
          <w:noProof w:val="0"/>
          <w:sz w:val="24"/>
          <w:szCs w:val="24"/>
          <w:lang w:val="uk-UA" w:eastAsia="uk-UA"/>
        </w:rPr>
        <w:t>Оцінки та припущення</w:t>
      </w:r>
    </w:p>
    <w:p w:rsidR="004664B8" w:rsidRPr="00CE67BA" w:rsidRDefault="004664B8" w:rsidP="004664B8">
      <w:pPr>
        <w:pStyle w:val="aa"/>
        <w:spacing w:after="127" w:line="283" w:lineRule="exact"/>
        <w:ind w:left="20" w:right="20"/>
        <w:rPr>
          <w:rFonts w:ascii="Times New Roman" w:hAnsi="Times New Roman"/>
        </w:rPr>
      </w:pPr>
      <w:r w:rsidRPr="00CE67BA">
        <w:rPr>
          <w:rFonts w:ascii="Times New Roman" w:hAnsi="Times New Roman"/>
          <w:lang w:eastAsia="uk-UA"/>
        </w:rPr>
        <w:t>Нижче представлені основні припущення, що стосуються майбутнього та інших основних джерел оцінки невизначеності на дату балансу, які несуть у собі значний ризик виникнення необхідності внесення суттєвих коригувань до балансової вартості активів та зобов'язань протягом наступного фінансового року.</w:t>
      </w:r>
    </w:p>
    <w:p w:rsidR="004664B8" w:rsidRPr="00CE67BA" w:rsidRDefault="004664B8" w:rsidP="004664B8">
      <w:pPr>
        <w:pStyle w:val="21"/>
        <w:keepNext/>
        <w:keepLines/>
        <w:shd w:val="clear" w:color="auto" w:fill="auto"/>
        <w:spacing w:after="63" w:line="200" w:lineRule="exact"/>
        <w:ind w:left="20"/>
        <w:rPr>
          <w:rFonts w:ascii="Times New Roman" w:hAnsi="Times New Roman"/>
          <w:bCs w:val="0"/>
          <w:noProof w:val="0"/>
          <w:sz w:val="24"/>
          <w:szCs w:val="24"/>
          <w:lang w:val="uk-UA" w:eastAsia="uk-UA"/>
        </w:rPr>
      </w:pPr>
      <w:r w:rsidRPr="00CE67BA">
        <w:rPr>
          <w:rFonts w:ascii="Times New Roman" w:hAnsi="Times New Roman"/>
          <w:bCs w:val="0"/>
          <w:noProof w:val="0"/>
          <w:sz w:val="24"/>
          <w:szCs w:val="24"/>
          <w:lang w:val="uk-UA" w:eastAsia="uk-UA"/>
        </w:rPr>
        <w:t>Резерв</w:t>
      </w:r>
    </w:p>
    <w:p w:rsidR="004664B8" w:rsidRPr="00CE67BA" w:rsidRDefault="004664B8" w:rsidP="004664B8">
      <w:pPr>
        <w:pStyle w:val="aa"/>
        <w:spacing w:after="60" w:line="283" w:lineRule="exact"/>
        <w:ind w:left="20" w:right="20"/>
        <w:rPr>
          <w:rFonts w:ascii="Times New Roman" w:hAnsi="Times New Roman"/>
          <w:bCs/>
          <w:lang w:eastAsia="uk-UA"/>
        </w:rPr>
      </w:pPr>
      <w:r w:rsidRPr="00CE67BA">
        <w:rPr>
          <w:rFonts w:ascii="Times New Roman" w:hAnsi="Times New Roman"/>
          <w:lang w:eastAsia="uk-UA"/>
        </w:rPr>
        <w:t xml:space="preserve">Товариство регулярно проводить оцінку дебіторської заборгованості та передплат виданих постачальникам для визначення втрати вартості даних активів. Товариство використовує судження, які ґрунтуються на досвіді взаємовідносин з контрагентом, для визначення суми втрати вартості активу у випадку, коли контрагент знаходиться у складній фінансовій ситуації. Керівництво здійснює оцінку, базуючись на історичних даних та об'єктивних ознаках втрати вартості активу. Станом на </w:t>
      </w:r>
      <w:r w:rsidRPr="00CE67BA">
        <w:rPr>
          <w:rFonts w:ascii="Times New Roman" w:hAnsi="Times New Roman"/>
        </w:rPr>
        <w:t xml:space="preserve">31 </w:t>
      </w:r>
      <w:r w:rsidRPr="00CE67BA">
        <w:rPr>
          <w:rFonts w:ascii="Times New Roman" w:hAnsi="Times New Roman"/>
          <w:lang w:eastAsia="uk-UA"/>
        </w:rPr>
        <w:t xml:space="preserve">грудня </w:t>
      </w:r>
      <w:r w:rsidRPr="00CE67BA">
        <w:rPr>
          <w:rFonts w:ascii="Times New Roman" w:hAnsi="Times New Roman"/>
        </w:rPr>
        <w:t xml:space="preserve">2016 </w:t>
      </w:r>
      <w:r w:rsidRPr="00CE67BA">
        <w:rPr>
          <w:rFonts w:ascii="Times New Roman" w:hAnsi="Times New Roman"/>
          <w:lang w:eastAsia="uk-UA"/>
        </w:rPr>
        <w:t>резерв не нараховувався.</w:t>
      </w:r>
    </w:p>
    <w:p w:rsidR="004664B8" w:rsidRPr="00CE67BA" w:rsidRDefault="004664B8" w:rsidP="004664B8">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r w:rsidRPr="00CE67BA">
        <w:rPr>
          <w:rFonts w:ascii="Times New Roman" w:hAnsi="Times New Roman"/>
          <w:bCs w:val="0"/>
          <w:noProof w:val="0"/>
          <w:sz w:val="24"/>
          <w:szCs w:val="24"/>
          <w:lang w:val="uk-UA" w:eastAsia="uk-UA"/>
        </w:rPr>
        <w:t>Судові розгляди</w:t>
      </w:r>
    </w:p>
    <w:p w:rsidR="004664B8" w:rsidRPr="00CE67BA" w:rsidRDefault="004664B8" w:rsidP="004664B8">
      <w:pPr>
        <w:pStyle w:val="aa"/>
        <w:spacing w:after="127" w:line="283" w:lineRule="exact"/>
        <w:ind w:left="20" w:right="20"/>
        <w:rPr>
          <w:rFonts w:ascii="Times New Roman" w:hAnsi="Times New Roman"/>
        </w:rPr>
      </w:pPr>
      <w:r w:rsidRPr="00CE67BA">
        <w:rPr>
          <w:rFonts w:ascii="Times New Roman" w:hAnsi="Times New Roman"/>
          <w:lang w:eastAsia="uk-UA"/>
        </w:rPr>
        <w:t xml:space="preserve">Товариство застосовує професійне судження при оцінці і визнанні резервів і розкритті потенційних зобов'язань, пов'язаних з поточними судовими розглядами або незадоволеними претензіями, що підлягають врегулюванню шляхом переговорів, за участю третіх осіб, за допомогою арбітражного розгляду або законодавчого регулювання, а також інших потенційних зобов'язань. Професійне судження необхідно при визначенні імовірності задоволення позову або претензії, пред'явлених Товариству, і виникнення зобов'язання, пов'язаного з таким позовом або претензією, а також при розрахунку діапазону сум можливого відшкодування. У силу невизначеності, яка є невід'ємною частиною будь-якої оцінки, фактичні збитки можуть істотно відрізнятися від розрахованого резерву. Зроблені припущення підлягають уточненню в міру надходження </w:t>
      </w:r>
      <w:r w:rsidRPr="00CE67BA">
        <w:rPr>
          <w:rFonts w:ascii="Times New Roman" w:hAnsi="Times New Roman"/>
          <w:lang w:eastAsia="uk-UA"/>
        </w:rPr>
        <w:lastRenderedPageBreak/>
        <w:t xml:space="preserve">нової інформації, головним чином, від внутрішніх фахівців, а також від зовнішніх консультантів. </w:t>
      </w:r>
      <w:r w:rsidRPr="00CE67BA">
        <w:rPr>
          <w:rFonts w:ascii="Times New Roman" w:hAnsi="Times New Roman"/>
          <w:lang w:val="ru-RU"/>
        </w:rPr>
        <w:t xml:space="preserve">Перегляд </w:t>
      </w:r>
      <w:r w:rsidRPr="00CE67BA">
        <w:rPr>
          <w:rFonts w:ascii="Times New Roman" w:hAnsi="Times New Roman"/>
          <w:lang w:eastAsia="uk-UA"/>
        </w:rPr>
        <w:t>первісних оцінок може зробити істотний вплив на майбутні результати діяльності.</w:t>
      </w:r>
    </w:p>
    <w:p w:rsidR="004664B8" w:rsidRPr="00CE67BA" w:rsidRDefault="004664B8" w:rsidP="004664B8">
      <w:pPr>
        <w:pStyle w:val="21"/>
        <w:keepNext/>
        <w:keepLines/>
        <w:shd w:val="clear" w:color="auto" w:fill="auto"/>
        <w:spacing w:after="59" w:line="200" w:lineRule="exact"/>
        <w:ind w:left="20"/>
        <w:rPr>
          <w:rFonts w:ascii="Times New Roman" w:hAnsi="Times New Roman"/>
          <w:bCs w:val="0"/>
          <w:noProof w:val="0"/>
          <w:sz w:val="24"/>
          <w:szCs w:val="24"/>
          <w:lang w:val="uk-UA" w:eastAsia="uk-UA"/>
        </w:rPr>
      </w:pPr>
      <w:r w:rsidRPr="00CE67BA">
        <w:rPr>
          <w:rFonts w:ascii="Times New Roman" w:hAnsi="Times New Roman"/>
          <w:bCs w:val="0"/>
          <w:noProof w:val="0"/>
          <w:sz w:val="24"/>
          <w:szCs w:val="24"/>
          <w:lang w:val="uk-UA" w:eastAsia="uk-UA"/>
        </w:rPr>
        <w:t>Зменшення корисності не фінансових активів</w:t>
      </w:r>
    </w:p>
    <w:p w:rsidR="004664B8" w:rsidRPr="00CE67BA" w:rsidRDefault="004664B8" w:rsidP="004664B8">
      <w:pPr>
        <w:pStyle w:val="aa"/>
        <w:spacing w:after="64" w:line="288" w:lineRule="exact"/>
        <w:ind w:left="20" w:right="20"/>
        <w:rPr>
          <w:rFonts w:ascii="Times New Roman" w:hAnsi="Times New Roman"/>
        </w:rPr>
      </w:pPr>
      <w:r w:rsidRPr="00CE67BA">
        <w:rPr>
          <w:rFonts w:ascii="Times New Roman" w:hAnsi="Times New Roman"/>
          <w:lang w:eastAsia="uk-UA"/>
        </w:rPr>
        <w:t>Основні засоби, інвестиції та нематеріальні активи оцінюються з метою виявлення зменшення корисності, якщо обставини вказують на можливе зменшення корисності.</w:t>
      </w:r>
    </w:p>
    <w:p w:rsidR="004664B8" w:rsidRPr="00CE67BA" w:rsidRDefault="004664B8" w:rsidP="004664B8">
      <w:pPr>
        <w:pStyle w:val="aa"/>
        <w:spacing w:after="60" w:line="283" w:lineRule="exact"/>
        <w:ind w:left="20" w:right="20"/>
        <w:rPr>
          <w:rFonts w:ascii="Times New Roman" w:hAnsi="Times New Roman"/>
        </w:rPr>
      </w:pPr>
      <w:r w:rsidRPr="00CE67BA">
        <w:rPr>
          <w:rFonts w:ascii="Times New Roman" w:hAnsi="Times New Roman"/>
          <w:lang w:eastAsia="uk-UA"/>
        </w:rPr>
        <w:t>Ознаки, які Товариство вважає важливими для прийняття рішення про необхідність оцінки з метою виявлення зменшення корисності, включають наступне: суттєве зменшення ринкової вартості, значне зниження показників діяльності у порівнянні з минулими або запланованими майбутніми операційними результатами, істотні зміни у використанні активів або стратегії Товариства (зокрема, ліквідація або заміна активів; пошкодження активів, або їх вилучення з операцій), істотні негативні промислові або економічні тенденції та інші чинники.</w:t>
      </w:r>
    </w:p>
    <w:p w:rsidR="004664B8" w:rsidRPr="00CE67BA" w:rsidRDefault="004664B8" w:rsidP="004664B8">
      <w:pPr>
        <w:pStyle w:val="aa"/>
        <w:spacing w:after="60" w:line="283" w:lineRule="exact"/>
        <w:ind w:left="20" w:right="20"/>
        <w:rPr>
          <w:rFonts w:ascii="Times New Roman" w:hAnsi="Times New Roman"/>
        </w:rPr>
      </w:pPr>
      <w:r w:rsidRPr="00CE67BA">
        <w:rPr>
          <w:rFonts w:ascii="Times New Roman" w:hAnsi="Times New Roman"/>
          <w:lang w:eastAsia="uk-UA"/>
        </w:rPr>
        <w:t xml:space="preserve">Оцінка відновлювальної вартості активів ґрунтується на оцінках керівництва, зокрема, оцінці майбутньої діяльності, можливості активів приносити дохід, припущень щодо подальших ринкових умов, технологічного розвитку, змін в законодавстві та інших чинників. Ці припущення використовуються </w:t>
      </w:r>
      <w:r w:rsidRPr="00CE67BA">
        <w:rPr>
          <w:rFonts w:ascii="Times New Roman" w:hAnsi="Times New Roman"/>
        </w:rPr>
        <w:t xml:space="preserve">при </w:t>
      </w:r>
      <w:r w:rsidRPr="00CE67BA">
        <w:rPr>
          <w:rFonts w:ascii="Times New Roman" w:hAnsi="Times New Roman"/>
          <w:lang w:eastAsia="uk-UA"/>
        </w:rPr>
        <w:t>розрахунку вартості використання активу та включають прогноз майбутніх грошових потоків та вибір відповідної дисконтної ставки.</w:t>
      </w:r>
    </w:p>
    <w:p w:rsidR="00CF6507" w:rsidRPr="00CE67BA" w:rsidRDefault="004664B8" w:rsidP="00BF7F5E">
      <w:pPr>
        <w:pStyle w:val="aa"/>
        <w:spacing w:after="0" w:line="283" w:lineRule="exact"/>
        <w:ind w:left="20" w:right="20"/>
        <w:rPr>
          <w:rFonts w:ascii="Times New Roman" w:hAnsi="Times New Roman"/>
          <w:lang w:val="ru-RU" w:eastAsia="uk-UA"/>
        </w:rPr>
      </w:pPr>
      <w:r w:rsidRPr="00CE67BA">
        <w:rPr>
          <w:rFonts w:ascii="Times New Roman" w:hAnsi="Times New Roman"/>
          <w:lang w:eastAsia="uk-UA"/>
        </w:rPr>
        <w:t xml:space="preserve">Визначення очікуваного відшкодування величини одиниці, яка генерує грошові потоки, також вимагає використання оцінок керівництва. Методики, що застосовуються для визначення цінності використання активів, включають використання методів </w:t>
      </w:r>
      <w:proofErr w:type="spellStart"/>
      <w:r w:rsidRPr="00CE67BA">
        <w:rPr>
          <w:rFonts w:ascii="Times New Roman" w:hAnsi="Times New Roman"/>
          <w:lang w:eastAsia="uk-UA"/>
        </w:rPr>
        <w:t>дисконтованих</w:t>
      </w:r>
      <w:proofErr w:type="spellEnd"/>
      <w:r w:rsidRPr="00CE67BA">
        <w:rPr>
          <w:rFonts w:ascii="Times New Roman" w:hAnsi="Times New Roman"/>
          <w:lang w:eastAsia="uk-UA"/>
        </w:rPr>
        <w:t xml:space="preserve"> грошових потоків, які оцінюють майбутні грошові потоки кожної </w:t>
      </w:r>
      <w:proofErr w:type="spellStart"/>
      <w:r w:rsidRPr="00CE67BA">
        <w:rPr>
          <w:rFonts w:ascii="Times New Roman" w:hAnsi="Times New Roman"/>
          <w:lang w:eastAsia="uk-UA"/>
        </w:rPr>
        <w:t>генеруючої</w:t>
      </w:r>
      <w:proofErr w:type="spellEnd"/>
      <w:r w:rsidRPr="00CE67BA">
        <w:rPr>
          <w:rFonts w:ascii="Times New Roman" w:hAnsi="Times New Roman"/>
          <w:lang w:eastAsia="uk-UA"/>
        </w:rPr>
        <w:t xml:space="preserve"> одиниці. </w:t>
      </w:r>
      <w:r w:rsidRPr="00CE67BA">
        <w:rPr>
          <w:rFonts w:ascii="Times New Roman" w:hAnsi="Times New Roman"/>
          <w:lang w:val="ru-RU"/>
        </w:rPr>
        <w:t xml:space="preserve">При </w:t>
      </w:r>
      <w:r w:rsidRPr="00CE67BA">
        <w:rPr>
          <w:rFonts w:ascii="Times New Roman" w:hAnsi="Times New Roman"/>
          <w:lang w:eastAsia="uk-UA"/>
        </w:rPr>
        <w:t>цьому Товариство визначає відповідну ставку дисконтування для розрахунку поточної вартості грошових потоків. Використання оціночних даних і припущень, так само як і вибір методології оцінки, робить істотний вплив на величину справедливої вартості активу, а, отже, і на величину знецінення.</w:t>
      </w:r>
    </w:p>
    <w:p w:rsidR="00BF7F5E" w:rsidRPr="00CE67BA" w:rsidRDefault="00BF7F5E" w:rsidP="00BF7F5E">
      <w:pPr>
        <w:pStyle w:val="aa"/>
        <w:spacing w:after="0"/>
        <w:ind w:left="23" w:right="23"/>
        <w:rPr>
          <w:b/>
        </w:rPr>
      </w:pPr>
      <w:r w:rsidRPr="00CE67BA">
        <w:rPr>
          <w:rFonts w:ascii="Times New Roman" w:hAnsi="Times New Roman"/>
          <w:b/>
        </w:rPr>
        <w:t>Судження щодо застосування МСБО 29 Фінансова звітність в умовах гіперінфляції </w:t>
      </w:r>
    </w:p>
    <w:p w:rsidR="00BF7F5E" w:rsidRPr="00CE67BA" w:rsidRDefault="00BF7F5E" w:rsidP="00BF7F5E">
      <w:pPr>
        <w:pStyle w:val="aa"/>
        <w:spacing w:after="0"/>
        <w:ind w:left="20" w:right="20"/>
        <w:rPr>
          <w:rFonts w:ascii="Times New Roman" w:hAnsi="Times New Roman"/>
          <w:lang w:eastAsia="uk-UA"/>
        </w:rPr>
      </w:pPr>
      <w:r w:rsidRPr="00CE67BA">
        <w:rPr>
          <w:rFonts w:ascii="Times New Roman" w:hAnsi="Times New Roman"/>
          <w:lang w:eastAsia="uk-UA"/>
        </w:rPr>
        <w:t>Цей Стандарт не встановлює абсолютного рівня, на якому вважається, що виникає гіперінфляція. Необхідність перераховувати фінансові звіти згідно з цим Стандартом є питанням судження. Показником гіперінфляції є характеристики економічного середовища в країні, які включають таке (але не обмежуються таким):</w:t>
      </w:r>
    </w:p>
    <w:p w:rsidR="00BF7F5E" w:rsidRPr="00CE67BA" w:rsidRDefault="00BF7F5E" w:rsidP="00BF7F5E">
      <w:pPr>
        <w:pStyle w:val="aa"/>
        <w:spacing w:after="0"/>
        <w:ind w:left="20" w:right="20" w:firstLine="688"/>
        <w:rPr>
          <w:rFonts w:ascii="Times New Roman" w:hAnsi="Times New Roman"/>
          <w:lang w:eastAsia="uk-UA"/>
        </w:rPr>
      </w:pPr>
      <w:r w:rsidRPr="00CE67BA">
        <w:rPr>
          <w:rFonts w:ascii="Times New Roman" w:hAnsi="Times New Roman"/>
          <w:lang w:eastAsia="uk-UA"/>
        </w:rPr>
        <w:t>а) основна маса населення віддає перевагу збереженню своїх цінностей у формі немонетарних активів або у відносно стабільній іноземній валюті. Суми, утримувані в національній валюті, негайно інвестуються для збереження купівельної спроможності;</w:t>
      </w:r>
    </w:p>
    <w:p w:rsidR="00BF7F5E" w:rsidRPr="00CE67BA" w:rsidRDefault="00BF7F5E" w:rsidP="00BF7F5E">
      <w:pPr>
        <w:pStyle w:val="aa"/>
        <w:spacing w:after="0"/>
        <w:ind w:left="20" w:right="20" w:firstLine="688"/>
        <w:rPr>
          <w:rFonts w:ascii="Times New Roman" w:hAnsi="Times New Roman"/>
          <w:lang w:eastAsia="uk-UA"/>
        </w:rPr>
      </w:pPr>
      <w:r w:rsidRPr="00CE67BA">
        <w:rPr>
          <w:rFonts w:ascii="Times New Roman" w:hAnsi="Times New Roman"/>
          <w:lang w:eastAsia="uk-UA"/>
        </w:rPr>
        <w:t>б) основна маса населення розглядає грошові суми не в національній грошовій одиниці, а у відносно стабільній іноземній валюті. Ціни можуть також наводитися в цій валюті;</w:t>
      </w:r>
    </w:p>
    <w:p w:rsidR="00BF7F5E" w:rsidRPr="00CE67BA" w:rsidRDefault="00BF7F5E" w:rsidP="00BF7F5E">
      <w:pPr>
        <w:pStyle w:val="aa"/>
        <w:spacing w:after="0"/>
        <w:ind w:left="20" w:right="20" w:firstLine="688"/>
        <w:rPr>
          <w:rFonts w:ascii="Times New Roman" w:hAnsi="Times New Roman"/>
          <w:lang w:eastAsia="uk-UA"/>
        </w:rPr>
      </w:pPr>
      <w:r w:rsidRPr="00CE67BA">
        <w:rPr>
          <w:rFonts w:ascii="Times New Roman" w:hAnsi="Times New Roman"/>
          <w:lang w:eastAsia="uk-UA"/>
        </w:rPr>
        <w:t>в) продаж та придбання на умовах відстрочки платежу здійснюється за цінами, які компенсують очікувану втрату купівельної спроможності протягом періоду відстрочки платежу, навіть якщо цей строк є коротким;</w:t>
      </w:r>
    </w:p>
    <w:p w:rsidR="00BF7F5E" w:rsidRPr="00CE67BA" w:rsidRDefault="00BF7F5E" w:rsidP="00BF7F5E">
      <w:pPr>
        <w:pStyle w:val="aa"/>
        <w:spacing w:after="60"/>
        <w:ind w:left="20" w:right="20" w:firstLine="688"/>
        <w:rPr>
          <w:rFonts w:ascii="Times New Roman" w:hAnsi="Times New Roman"/>
          <w:lang w:eastAsia="uk-UA"/>
        </w:rPr>
      </w:pPr>
      <w:r w:rsidRPr="00CE67BA">
        <w:rPr>
          <w:rFonts w:ascii="Times New Roman" w:hAnsi="Times New Roman"/>
          <w:lang w:eastAsia="uk-UA"/>
        </w:rPr>
        <w:t>г) відсоткові ставки, заробітна плата та ціни індексуються згідно індексу цін;</w:t>
      </w:r>
    </w:p>
    <w:p w:rsidR="00BF7F5E" w:rsidRPr="00CE67BA" w:rsidRDefault="00BF7F5E" w:rsidP="00BF7F5E">
      <w:pPr>
        <w:pStyle w:val="aa"/>
        <w:spacing w:after="0"/>
        <w:ind w:left="20" w:right="20" w:firstLine="688"/>
        <w:rPr>
          <w:rFonts w:ascii="Times New Roman" w:hAnsi="Times New Roman"/>
          <w:lang w:val="ru-RU" w:eastAsia="uk-UA"/>
        </w:rPr>
      </w:pPr>
      <w:r w:rsidRPr="00CE67BA">
        <w:rPr>
          <w:rFonts w:ascii="Times New Roman" w:hAnsi="Times New Roman"/>
          <w:lang w:eastAsia="uk-UA"/>
        </w:rPr>
        <w:t>ґ) кумулятивний рівень інфляції за трирічний період наближається до 100 % або перевищує цей рівень.</w:t>
      </w:r>
    </w:p>
    <w:p w:rsidR="00BF7F5E" w:rsidRPr="00CE67BA" w:rsidRDefault="00BF7F5E" w:rsidP="00BF7F5E">
      <w:pPr>
        <w:pStyle w:val="aa"/>
        <w:spacing w:after="0"/>
        <w:ind w:left="20" w:right="20" w:firstLine="688"/>
        <w:rPr>
          <w:rFonts w:ascii="Times New Roman" w:hAnsi="Times New Roman"/>
          <w:lang w:val="ru-RU" w:eastAsia="uk-UA"/>
        </w:rPr>
      </w:pPr>
      <w:r w:rsidRPr="00CE67BA">
        <w:rPr>
          <w:rFonts w:ascii="Times New Roman" w:hAnsi="Times New Roman"/>
          <w:lang w:eastAsia="uk-UA"/>
        </w:rPr>
        <w:tab/>
      </w:r>
      <w:proofErr w:type="spellStart"/>
      <w:r w:rsidRPr="00CE67BA">
        <w:rPr>
          <w:rFonts w:ascii="Times New Roman" w:hAnsi="Times New Roman"/>
          <w:lang w:eastAsia="uk-UA"/>
        </w:rPr>
        <w:t>Управлнським</w:t>
      </w:r>
      <w:proofErr w:type="spellEnd"/>
      <w:r w:rsidRPr="00CE67BA">
        <w:rPr>
          <w:rFonts w:ascii="Times New Roman" w:hAnsi="Times New Roman"/>
          <w:lang w:eastAsia="uk-UA"/>
        </w:rPr>
        <w:t xml:space="preserve"> персоналом Товариства було прийнято рішення  н</w:t>
      </w:r>
      <w:r w:rsidRPr="00CE67BA">
        <w:rPr>
          <w:rFonts w:ascii="Times New Roman" w:hAnsi="Times New Roman"/>
          <w:lang w:val="ru-RU" w:eastAsia="uk-UA"/>
        </w:rPr>
        <w:t>е</w:t>
      </w:r>
      <w:bookmarkStart w:id="10" w:name="_GoBack"/>
      <w:bookmarkEnd w:id="10"/>
      <w:r w:rsidRPr="00CE67BA">
        <w:rPr>
          <w:rFonts w:ascii="Times New Roman" w:hAnsi="Times New Roman"/>
          <w:lang w:eastAsia="uk-UA"/>
        </w:rPr>
        <w:t xml:space="preserve"> застосовувати МСБО 29 при складанні  фінансової звітності за 2016 рік</w:t>
      </w:r>
    </w:p>
    <w:p w:rsidR="00BF7F5E" w:rsidRPr="00CE67BA" w:rsidRDefault="00BF7F5E" w:rsidP="00BF7F5E">
      <w:pPr>
        <w:pStyle w:val="aa"/>
        <w:spacing w:after="0"/>
        <w:ind w:left="20" w:right="20" w:firstLine="688"/>
        <w:rPr>
          <w:rFonts w:ascii="Times New Roman" w:hAnsi="Times New Roman"/>
          <w:lang w:val="ru-RU" w:eastAsia="uk-UA"/>
        </w:rPr>
      </w:pPr>
    </w:p>
    <w:p w:rsidR="00A5429C" w:rsidRPr="00CE67BA" w:rsidRDefault="006B7A58" w:rsidP="006B7A58">
      <w:pPr>
        <w:pStyle w:val="a3"/>
        <w:spacing w:after="0" w:line="240" w:lineRule="auto"/>
        <w:ind w:left="708"/>
        <w:rPr>
          <w:rFonts w:ascii="Times New Roman" w:hAnsi="Times New Roman"/>
          <w:b/>
          <w:sz w:val="24"/>
          <w:szCs w:val="24"/>
          <w:lang w:eastAsia="uk-UA"/>
        </w:rPr>
      </w:pPr>
      <w:r w:rsidRPr="00CE67BA">
        <w:rPr>
          <w:rFonts w:ascii="Times New Roman" w:hAnsi="Times New Roman"/>
          <w:b/>
          <w:sz w:val="24"/>
          <w:szCs w:val="24"/>
          <w:lang w:eastAsia="uk-UA"/>
        </w:rPr>
        <w:t>11</w:t>
      </w:r>
      <w:r w:rsidR="00C22680" w:rsidRPr="00CE67BA">
        <w:rPr>
          <w:rFonts w:ascii="Times New Roman" w:hAnsi="Times New Roman"/>
          <w:b/>
          <w:sz w:val="24"/>
          <w:szCs w:val="24"/>
          <w:lang w:eastAsia="uk-UA"/>
        </w:rPr>
        <w:t>.1. Основні засоби.</w:t>
      </w:r>
    </w:p>
    <w:p w:rsidR="00505CDB" w:rsidRPr="00CE67BA" w:rsidRDefault="006B7A58" w:rsidP="00CE67BA">
      <w:pPr>
        <w:pStyle w:val="a3"/>
        <w:spacing w:after="0" w:line="240" w:lineRule="auto"/>
        <w:ind w:left="708"/>
        <w:rPr>
          <w:rFonts w:ascii="Times New Roman" w:hAnsi="Times New Roman"/>
          <w:b/>
          <w:sz w:val="24"/>
          <w:szCs w:val="24"/>
          <w:lang w:val="ru-RU" w:eastAsia="uk-UA"/>
        </w:rPr>
      </w:pPr>
      <w:r w:rsidRPr="00CE67BA">
        <w:rPr>
          <w:rFonts w:ascii="Times New Roman" w:hAnsi="Times New Roman"/>
          <w:sz w:val="24"/>
          <w:szCs w:val="24"/>
          <w:lang w:eastAsia="uk-UA"/>
        </w:rPr>
        <w:t>Станом на 31.12.2016 р. основні засоби в Товаристві відсутні</w:t>
      </w:r>
      <w:r w:rsidR="00CE67BA" w:rsidRPr="00CE67BA">
        <w:rPr>
          <w:rFonts w:ascii="Times New Roman" w:hAnsi="Times New Roman"/>
          <w:sz w:val="24"/>
          <w:szCs w:val="24"/>
          <w:lang w:val="ru-RU" w:eastAsia="uk-UA"/>
        </w:rPr>
        <w:t>.</w:t>
      </w:r>
    </w:p>
    <w:p w:rsidR="00AC256C" w:rsidRPr="00CE67BA" w:rsidRDefault="006B7A58" w:rsidP="00B70F16">
      <w:pPr>
        <w:pStyle w:val="a3"/>
        <w:autoSpaceDE w:val="0"/>
        <w:autoSpaceDN w:val="0"/>
        <w:adjustRightInd w:val="0"/>
        <w:spacing w:after="0" w:line="240" w:lineRule="auto"/>
        <w:ind w:left="0" w:firstLine="709"/>
        <w:rPr>
          <w:rFonts w:ascii="Times New Roman" w:hAnsi="Times New Roman"/>
          <w:b/>
          <w:sz w:val="24"/>
          <w:szCs w:val="24"/>
          <w:lang w:eastAsia="uk-UA"/>
        </w:rPr>
      </w:pPr>
      <w:r w:rsidRPr="00CE67BA">
        <w:rPr>
          <w:rFonts w:ascii="Times New Roman" w:hAnsi="Times New Roman"/>
          <w:b/>
          <w:sz w:val="24"/>
          <w:szCs w:val="24"/>
          <w:lang w:eastAsia="uk-UA"/>
        </w:rPr>
        <w:t>11</w:t>
      </w:r>
      <w:r w:rsidR="00AC256C" w:rsidRPr="00CE67BA">
        <w:rPr>
          <w:rFonts w:ascii="Times New Roman" w:hAnsi="Times New Roman"/>
          <w:b/>
          <w:sz w:val="24"/>
          <w:szCs w:val="24"/>
          <w:lang w:eastAsia="uk-UA"/>
        </w:rPr>
        <w:t>.2. Нематеріальні активи.</w:t>
      </w:r>
    </w:p>
    <w:p w:rsidR="006B7A58" w:rsidRPr="00CE67BA" w:rsidRDefault="006B7A58" w:rsidP="006B7A58">
      <w:pPr>
        <w:pStyle w:val="a3"/>
        <w:spacing w:after="0" w:line="240" w:lineRule="auto"/>
        <w:ind w:left="708"/>
        <w:rPr>
          <w:rFonts w:ascii="Times New Roman" w:hAnsi="Times New Roman"/>
          <w:sz w:val="24"/>
          <w:szCs w:val="24"/>
          <w:lang w:val="ru-RU" w:eastAsia="uk-UA"/>
        </w:rPr>
      </w:pPr>
      <w:r w:rsidRPr="00CE67BA">
        <w:rPr>
          <w:rFonts w:ascii="Times New Roman" w:hAnsi="Times New Roman"/>
          <w:sz w:val="24"/>
          <w:szCs w:val="24"/>
          <w:lang w:eastAsia="uk-UA"/>
        </w:rPr>
        <w:t>Станом на 31.12.2016 р. нематеріальні активі  в Товаристві відсутні</w:t>
      </w:r>
      <w:r w:rsidR="00CE67BA" w:rsidRPr="00CE67BA">
        <w:rPr>
          <w:rFonts w:ascii="Times New Roman" w:hAnsi="Times New Roman"/>
          <w:sz w:val="24"/>
          <w:szCs w:val="24"/>
          <w:lang w:val="ru-RU" w:eastAsia="uk-UA"/>
        </w:rPr>
        <w:t>.</w:t>
      </w:r>
    </w:p>
    <w:p w:rsidR="00AC256C" w:rsidRPr="00CE67BA" w:rsidRDefault="006B7A58" w:rsidP="00A22427">
      <w:pPr>
        <w:widowControl/>
        <w:spacing w:line="240" w:lineRule="auto"/>
        <w:ind w:firstLine="709"/>
        <w:rPr>
          <w:rFonts w:eastAsia="Times New Roman"/>
          <w:b/>
          <w:sz w:val="24"/>
          <w:szCs w:val="24"/>
          <w:lang w:eastAsia="uk-UA"/>
        </w:rPr>
      </w:pPr>
      <w:r w:rsidRPr="00CE67BA">
        <w:rPr>
          <w:rFonts w:eastAsia="Times New Roman"/>
          <w:b/>
          <w:sz w:val="24"/>
          <w:szCs w:val="24"/>
          <w:lang w:eastAsia="uk-UA"/>
        </w:rPr>
        <w:lastRenderedPageBreak/>
        <w:t>11</w:t>
      </w:r>
      <w:r w:rsidR="00E66764" w:rsidRPr="00CE67BA">
        <w:rPr>
          <w:rFonts w:eastAsia="Times New Roman"/>
          <w:b/>
          <w:sz w:val="24"/>
          <w:szCs w:val="24"/>
          <w:lang w:eastAsia="uk-UA"/>
        </w:rPr>
        <w:t xml:space="preserve">.3. </w:t>
      </w:r>
      <w:r w:rsidR="00AC256C" w:rsidRPr="00CE67BA">
        <w:rPr>
          <w:rFonts w:eastAsia="Times New Roman"/>
          <w:b/>
          <w:sz w:val="24"/>
          <w:szCs w:val="24"/>
          <w:lang w:eastAsia="uk-UA"/>
        </w:rPr>
        <w:t>Запаси.</w:t>
      </w:r>
    </w:p>
    <w:p w:rsidR="006B7A58" w:rsidRPr="00CE67BA" w:rsidRDefault="006B7A58" w:rsidP="006B7A58">
      <w:pPr>
        <w:pStyle w:val="a3"/>
        <w:spacing w:after="0" w:line="240" w:lineRule="auto"/>
        <w:ind w:left="708"/>
        <w:rPr>
          <w:rFonts w:ascii="Times New Roman" w:hAnsi="Times New Roman"/>
          <w:sz w:val="24"/>
          <w:szCs w:val="24"/>
          <w:lang w:val="ru-RU" w:eastAsia="uk-UA"/>
        </w:rPr>
      </w:pPr>
      <w:r w:rsidRPr="00CE67BA">
        <w:rPr>
          <w:rFonts w:ascii="Times New Roman" w:hAnsi="Times New Roman"/>
          <w:sz w:val="24"/>
          <w:szCs w:val="24"/>
          <w:lang w:eastAsia="uk-UA"/>
        </w:rPr>
        <w:t xml:space="preserve">Станом на 31.12.2016 р. </w:t>
      </w:r>
      <w:r w:rsidR="00D512E7" w:rsidRPr="00CE67BA">
        <w:rPr>
          <w:rFonts w:ascii="Times New Roman" w:hAnsi="Times New Roman"/>
          <w:sz w:val="24"/>
          <w:szCs w:val="24"/>
          <w:lang w:eastAsia="uk-UA"/>
        </w:rPr>
        <w:t>запаси</w:t>
      </w:r>
      <w:r w:rsidRPr="00CE67BA">
        <w:rPr>
          <w:rFonts w:ascii="Times New Roman" w:hAnsi="Times New Roman"/>
          <w:sz w:val="24"/>
          <w:szCs w:val="24"/>
          <w:lang w:eastAsia="uk-UA"/>
        </w:rPr>
        <w:t xml:space="preserve"> в Товаристві відсутні</w:t>
      </w:r>
      <w:r w:rsidR="00CE67BA" w:rsidRPr="00CE67BA">
        <w:rPr>
          <w:rFonts w:ascii="Times New Roman" w:hAnsi="Times New Roman"/>
          <w:sz w:val="24"/>
          <w:szCs w:val="24"/>
          <w:lang w:val="ru-RU" w:eastAsia="uk-UA"/>
        </w:rPr>
        <w:t>.</w:t>
      </w:r>
    </w:p>
    <w:tbl>
      <w:tblPr>
        <w:tblW w:w="9435" w:type="dxa"/>
        <w:tblInd w:w="15" w:type="dxa"/>
        <w:tblCellMar>
          <w:left w:w="30" w:type="dxa"/>
          <w:right w:w="0" w:type="dxa"/>
        </w:tblCellMar>
        <w:tblLook w:val="04A0"/>
      </w:tblPr>
      <w:tblGrid>
        <w:gridCol w:w="461"/>
        <w:gridCol w:w="442"/>
        <w:gridCol w:w="414"/>
        <w:gridCol w:w="378"/>
        <w:gridCol w:w="364"/>
        <w:gridCol w:w="253"/>
        <w:gridCol w:w="207"/>
        <w:gridCol w:w="188"/>
        <w:gridCol w:w="300"/>
        <w:gridCol w:w="195"/>
        <w:gridCol w:w="253"/>
        <w:gridCol w:w="200"/>
        <w:gridCol w:w="308"/>
        <w:gridCol w:w="230"/>
        <w:gridCol w:w="468"/>
        <w:gridCol w:w="467"/>
        <w:gridCol w:w="590"/>
        <w:gridCol w:w="500"/>
        <w:gridCol w:w="560"/>
        <w:gridCol w:w="490"/>
        <w:gridCol w:w="617"/>
        <w:gridCol w:w="530"/>
        <w:gridCol w:w="446"/>
        <w:gridCol w:w="525"/>
        <w:gridCol w:w="49"/>
      </w:tblGrid>
      <w:tr w:rsidR="001B2ACB" w:rsidRPr="00CE67BA" w:rsidTr="00CE67BA">
        <w:trPr>
          <w:hidden/>
        </w:trPr>
        <w:tc>
          <w:tcPr>
            <w:tcW w:w="461" w:type="dxa"/>
            <w:vAlign w:val="center"/>
            <w:hideMark/>
          </w:tcPr>
          <w:p w:rsidR="00611F74" w:rsidRPr="00CE67BA" w:rsidRDefault="00611F74" w:rsidP="00F46C75">
            <w:pPr>
              <w:widowControl/>
              <w:spacing w:line="240" w:lineRule="auto"/>
              <w:ind w:firstLine="0"/>
              <w:rPr>
                <w:rFonts w:ascii="Arial" w:eastAsia="Times New Roman" w:hAnsi="Arial" w:cs="Arial"/>
                <w:vanish/>
                <w:sz w:val="16"/>
                <w:szCs w:val="16"/>
              </w:rPr>
            </w:pPr>
          </w:p>
        </w:tc>
        <w:tc>
          <w:tcPr>
            <w:tcW w:w="442"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414"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378"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364"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253"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207"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188"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300"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195"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253"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200"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308"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230"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468"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467"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590"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500"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560"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490"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617"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530"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446"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525"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c>
          <w:tcPr>
            <w:tcW w:w="49" w:type="dxa"/>
            <w:vAlign w:val="center"/>
            <w:hideMark/>
          </w:tcPr>
          <w:p w:rsidR="00611F74" w:rsidRPr="00CE67BA" w:rsidRDefault="00611F74" w:rsidP="001B2ACB">
            <w:pPr>
              <w:widowControl/>
              <w:spacing w:line="240" w:lineRule="auto"/>
              <w:ind w:firstLine="0"/>
              <w:rPr>
                <w:rFonts w:ascii="Arial" w:eastAsia="Times New Roman" w:hAnsi="Arial" w:cs="Arial"/>
                <w:vanish/>
                <w:sz w:val="16"/>
                <w:szCs w:val="16"/>
              </w:rPr>
            </w:pPr>
          </w:p>
        </w:tc>
      </w:tr>
    </w:tbl>
    <w:p w:rsidR="00AC256C" w:rsidRPr="00CE67BA" w:rsidRDefault="00AC256C" w:rsidP="00A608B3">
      <w:pPr>
        <w:widowControl/>
        <w:spacing w:line="240" w:lineRule="auto"/>
        <w:ind w:firstLine="0"/>
        <w:rPr>
          <w:rFonts w:eastAsia="Times New Roman"/>
          <w:sz w:val="24"/>
          <w:szCs w:val="24"/>
          <w:lang w:eastAsia="uk-UA"/>
        </w:rPr>
      </w:pPr>
    </w:p>
    <w:p w:rsidR="00732D95" w:rsidRPr="00CE67BA" w:rsidRDefault="006B7A58" w:rsidP="00732D95">
      <w:pPr>
        <w:widowControl/>
        <w:spacing w:line="240" w:lineRule="auto"/>
        <w:ind w:firstLine="708"/>
        <w:rPr>
          <w:rFonts w:eastAsia="Times New Roman"/>
          <w:b/>
          <w:sz w:val="24"/>
          <w:szCs w:val="24"/>
          <w:lang w:eastAsia="uk-UA"/>
        </w:rPr>
      </w:pPr>
      <w:r w:rsidRPr="00CE67BA">
        <w:rPr>
          <w:rFonts w:eastAsia="Times New Roman"/>
          <w:b/>
          <w:sz w:val="24"/>
          <w:szCs w:val="24"/>
          <w:lang w:eastAsia="uk-UA"/>
        </w:rPr>
        <w:t>11</w:t>
      </w:r>
      <w:r w:rsidR="00732D95" w:rsidRPr="00CE67BA">
        <w:rPr>
          <w:rFonts w:eastAsia="Times New Roman"/>
          <w:b/>
          <w:sz w:val="24"/>
          <w:szCs w:val="24"/>
          <w:lang w:eastAsia="uk-UA"/>
        </w:rPr>
        <w:t>.4. Торгова дебіторська заборгованість</w:t>
      </w:r>
    </w:p>
    <w:p w:rsidR="00A56A08" w:rsidRPr="00CE67BA" w:rsidRDefault="009C2B12" w:rsidP="00CE67BA">
      <w:pPr>
        <w:pStyle w:val="3"/>
        <w:ind w:left="0" w:firstLine="0"/>
        <w:rPr>
          <w:rFonts w:eastAsia="Times New Roman"/>
          <w:b/>
          <w:bCs/>
          <w:lang w:eastAsia="uk-UA"/>
        </w:rPr>
      </w:pPr>
      <w:r w:rsidRPr="00CE67BA">
        <w:rPr>
          <w:rFonts w:eastAsia="Times New Roman"/>
          <w:sz w:val="24"/>
          <w:szCs w:val="24"/>
          <w:lang w:eastAsia="uk-UA"/>
        </w:rPr>
        <w:t xml:space="preserve">Станом на 31 грудня балансу торгова дебіторська </w:t>
      </w:r>
      <w:r w:rsidR="006B7A58" w:rsidRPr="00CE67BA">
        <w:rPr>
          <w:rFonts w:eastAsia="Times New Roman"/>
          <w:sz w:val="24"/>
          <w:szCs w:val="24"/>
          <w:lang w:eastAsia="uk-UA"/>
        </w:rPr>
        <w:t>заборгованість Товаристві</w:t>
      </w:r>
      <w:r w:rsidRPr="00CE67BA">
        <w:rPr>
          <w:rFonts w:eastAsia="Times New Roman"/>
          <w:sz w:val="24"/>
          <w:szCs w:val="24"/>
          <w:lang w:eastAsia="uk-UA"/>
        </w:rPr>
        <w:t xml:space="preserve"> </w:t>
      </w:r>
      <w:r w:rsidR="00AD3CEC" w:rsidRPr="00CE67BA">
        <w:rPr>
          <w:rFonts w:eastAsia="Times New Roman"/>
          <w:sz w:val="24"/>
          <w:szCs w:val="24"/>
          <w:lang w:eastAsia="uk-UA"/>
        </w:rPr>
        <w:t>відсутня.</w:t>
      </w:r>
      <w:bookmarkStart w:id="11" w:name="bookmark31"/>
    </w:p>
    <w:p w:rsidR="00A56A08" w:rsidRPr="00CE67BA" w:rsidRDefault="006B7A58" w:rsidP="00CF029D">
      <w:pPr>
        <w:pStyle w:val="21"/>
        <w:keepNext/>
        <w:keepLines/>
        <w:shd w:val="clear" w:color="auto" w:fill="auto"/>
        <w:spacing w:after="58" w:line="200" w:lineRule="exact"/>
        <w:ind w:firstLine="708"/>
        <w:rPr>
          <w:rFonts w:eastAsia="Times New Roman"/>
          <w:sz w:val="24"/>
          <w:szCs w:val="24"/>
          <w:lang w:val="uk-UA" w:eastAsia="uk-UA"/>
        </w:rPr>
      </w:pPr>
      <w:r w:rsidRPr="00CE67BA">
        <w:rPr>
          <w:rFonts w:ascii="Times New Roman" w:eastAsia="Times New Roman" w:hAnsi="Times New Roman"/>
          <w:bCs w:val="0"/>
          <w:noProof w:val="0"/>
          <w:sz w:val="24"/>
          <w:szCs w:val="24"/>
          <w:lang w:val="uk-UA" w:eastAsia="uk-UA"/>
        </w:rPr>
        <w:t>11</w:t>
      </w:r>
      <w:r w:rsidR="00CF029D" w:rsidRPr="00CE67BA">
        <w:rPr>
          <w:rFonts w:ascii="Times New Roman" w:eastAsia="Times New Roman" w:hAnsi="Times New Roman"/>
          <w:bCs w:val="0"/>
          <w:noProof w:val="0"/>
          <w:sz w:val="24"/>
          <w:szCs w:val="24"/>
          <w:lang w:val="uk-UA" w:eastAsia="uk-UA"/>
        </w:rPr>
        <w:t xml:space="preserve">.5. </w:t>
      </w:r>
      <w:r w:rsidR="00432D79" w:rsidRPr="00CE67BA">
        <w:rPr>
          <w:rFonts w:ascii="Times New Roman" w:eastAsia="Times New Roman" w:hAnsi="Times New Roman"/>
          <w:bCs w:val="0"/>
          <w:noProof w:val="0"/>
          <w:sz w:val="24"/>
          <w:szCs w:val="24"/>
          <w:lang w:val="uk-UA" w:eastAsia="uk-UA"/>
        </w:rPr>
        <w:t xml:space="preserve">Інша </w:t>
      </w:r>
      <w:r w:rsidR="00432D79" w:rsidRPr="00CE67BA">
        <w:rPr>
          <w:rFonts w:eastAsia="Times New Roman"/>
          <w:sz w:val="24"/>
          <w:szCs w:val="24"/>
          <w:lang w:eastAsia="uk-UA"/>
        </w:rPr>
        <w:t>дебіторська заборгованість</w:t>
      </w:r>
    </w:p>
    <w:p w:rsidR="00432D79" w:rsidRPr="00CE67BA" w:rsidRDefault="00432D79" w:rsidP="00432D79">
      <w:pPr>
        <w:widowControl/>
        <w:spacing w:line="240" w:lineRule="auto"/>
        <w:ind w:firstLine="0"/>
        <w:rPr>
          <w:rFonts w:eastAsia="Times New Roman"/>
          <w:sz w:val="24"/>
          <w:szCs w:val="24"/>
          <w:lang w:eastAsia="uk-UA"/>
        </w:rPr>
      </w:pPr>
      <w:r w:rsidRPr="00CE67BA">
        <w:rPr>
          <w:rFonts w:eastAsia="Times New Roman"/>
          <w:sz w:val="24"/>
          <w:szCs w:val="24"/>
          <w:lang w:eastAsia="uk-UA"/>
        </w:rPr>
        <w:t xml:space="preserve">Станом на 31 грудня балансу </w:t>
      </w:r>
      <w:r w:rsidR="00D512E7" w:rsidRPr="00CE67BA">
        <w:rPr>
          <w:rFonts w:eastAsia="Times New Roman"/>
          <w:sz w:val="24"/>
          <w:szCs w:val="24"/>
          <w:lang w:eastAsia="uk-UA"/>
        </w:rPr>
        <w:t>і</w:t>
      </w:r>
      <w:r w:rsidR="00AD3CEC" w:rsidRPr="00CE67BA">
        <w:rPr>
          <w:rFonts w:eastAsia="Times New Roman"/>
          <w:sz w:val="24"/>
          <w:szCs w:val="24"/>
          <w:lang w:eastAsia="uk-UA"/>
        </w:rPr>
        <w:t>н</w:t>
      </w:r>
      <w:r w:rsidR="00D512E7" w:rsidRPr="00CE67BA">
        <w:rPr>
          <w:rFonts w:eastAsia="Times New Roman"/>
          <w:sz w:val="24"/>
          <w:szCs w:val="24"/>
          <w:lang w:eastAsia="uk-UA"/>
        </w:rPr>
        <w:t>ш</w:t>
      </w:r>
      <w:r w:rsidR="00AD3CEC" w:rsidRPr="00CE67BA">
        <w:rPr>
          <w:rFonts w:eastAsia="Times New Roman"/>
          <w:sz w:val="24"/>
          <w:szCs w:val="24"/>
          <w:lang w:eastAsia="uk-UA"/>
        </w:rPr>
        <w:t>а</w:t>
      </w:r>
      <w:r w:rsidRPr="00CE67BA">
        <w:rPr>
          <w:rFonts w:eastAsia="Times New Roman"/>
          <w:sz w:val="24"/>
          <w:szCs w:val="24"/>
          <w:lang w:eastAsia="uk-UA"/>
        </w:rPr>
        <w:t xml:space="preserve"> дебіторська заборгованість включала наступне, </w:t>
      </w:r>
      <w:proofErr w:type="spellStart"/>
      <w:r w:rsidRPr="00CE67BA">
        <w:rPr>
          <w:rFonts w:eastAsia="Times New Roman"/>
          <w:sz w:val="24"/>
          <w:szCs w:val="24"/>
          <w:lang w:eastAsia="uk-UA"/>
        </w:rPr>
        <w:t>тис.грн</w:t>
      </w:r>
      <w:proofErr w:type="spellEnd"/>
      <w:r w:rsidRPr="00CE67BA">
        <w:rPr>
          <w:rFonts w:eastAsia="Times New Roman"/>
          <w:sz w:val="24"/>
          <w:szCs w:val="24"/>
          <w:lang w:eastAsia="uk-UA"/>
        </w:rPr>
        <w:t>.:</w:t>
      </w:r>
    </w:p>
    <w:tbl>
      <w:tblPr>
        <w:tblStyle w:val="a5"/>
        <w:tblW w:w="0" w:type="auto"/>
        <w:tblLayout w:type="fixed"/>
        <w:tblLook w:val="04A0"/>
      </w:tblPr>
      <w:tblGrid>
        <w:gridCol w:w="3085"/>
        <w:gridCol w:w="1984"/>
      </w:tblGrid>
      <w:tr w:rsidR="00AD3CEC" w:rsidRPr="00CE67BA" w:rsidTr="007D3DAC">
        <w:tc>
          <w:tcPr>
            <w:tcW w:w="3085" w:type="dxa"/>
          </w:tcPr>
          <w:p w:rsidR="00AD3CEC" w:rsidRPr="00CE67BA" w:rsidRDefault="00AD3CEC" w:rsidP="00A56A08">
            <w:pPr>
              <w:pStyle w:val="21"/>
              <w:keepNext/>
              <w:keepLines/>
              <w:shd w:val="clear" w:color="auto" w:fill="auto"/>
              <w:spacing w:after="58" w:line="200" w:lineRule="exact"/>
              <w:rPr>
                <w:rFonts w:eastAsia="Times New Roman"/>
                <w:sz w:val="24"/>
                <w:szCs w:val="24"/>
                <w:lang w:val="uk-UA" w:eastAsia="uk-UA"/>
              </w:rPr>
            </w:pPr>
          </w:p>
        </w:tc>
        <w:tc>
          <w:tcPr>
            <w:tcW w:w="1984" w:type="dxa"/>
          </w:tcPr>
          <w:p w:rsidR="00AD3CEC" w:rsidRPr="00CE67BA" w:rsidRDefault="00AD3CEC" w:rsidP="006B5F88">
            <w:pPr>
              <w:widowControl/>
              <w:spacing w:line="240" w:lineRule="auto"/>
              <w:ind w:firstLine="0"/>
              <w:jc w:val="center"/>
              <w:rPr>
                <w:rFonts w:eastAsia="Times New Roman"/>
                <w:sz w:val="20"/>
                <w:lang w:eastAsia="uk-UA"/>
              </w:rPr>
            </w:pPr>
            <w:r w:rsidRPr="00CE67BA">
              <w:rPr>
                <w:rFonts w:eastAsia="Times New Roman"/>
                <w:sz w:val="20"/>
                <w:lang w:eastAsia="uk-UA"/>
              </w:rPr>
              <w:t>Балансова вартість</w:t>
            </w:r>
          </w:p>
          <w:p w:rsidR="00AD3CEC" w:rsidRPr="00CE67BA" w:rsidRDefault="00AD3CEC" w:rsidP="003A328F">
            <w:pPr>
              <w:widowControl/>
              <w:spacing w:line="240" w:lineRule="auto"/>
              <w:ind w:firstLine="0"/>
              <w:jc w:val="center"/>
              <w:rPr>
                <w:rFonts w:eastAsia="Times New Roman"/>
                <w:sz w:val="20"/>
                <w:lang w:eastAsia="uk-UA"/>
              </w:rPr>
            </w:pPr>
            <w:r w:rsidRPr="00CE67BA">
              <w:rPr>
                <w:rFonts w:eastAsia="Times New Roman"/>
                <w:sz w:val="20"/>
                <w:lang w:eastAsia="uk-UA"/>
              </w:rPr>
              <w:t> на 31.12.2016</w:t>
            </w:r>
          </w:p>
        </w:tc>
      </w:tr>
      <w:tr w:rsidR="00AD3CEC" w:rsidRPr="00CE67BA" w:rsidTr="007D3DAC">
        <w:trPr>
          <w:trHeight w:val="413"/>
        </w:trPr>
        <w:tc>
          <w:tcPr>
            <w:tcW w:w="3085" w:type="dxa"/>
          </w:tcPr>
          <w:p w:rsidR="00AD3CEC" w:rsidRPr="00CE67BA" w:rsidRDefault="00AD3CEC" w:rsidP="00432D79">
            <w:pPr>
              <w:widowControl/>
              <w:spacing w:line="240" w:lineRule="auto"/>
              <w:ind w:firstLine="0"/>
              <w:rPr>
                <w:rFonts w:eastAsia="Times New Roman"/>
                <w:sz w:val="20"/>
                <w:lang w:eastAsia="uk-UA"/>
              </w:rPr>
            </w:pPr>
            <w:r w:rsidRPr="00CE67BA">
              <w:rPr>
                <w:rFonts w:eastAsia="Times New Roman"/>
                <w:sz w:val="20"/>
                <w:lang w:eastAsia="uk-UA"/>
              </w:rPr>
              <w:t xml:space="preserve">Аванси, видані постачальникам </w:t>
            </w:r>
          </w:p>
        </w:tc>
        <w:tc>
          <w:tcPr>
            <w:tcW w:w="1984" w:type="dxa"/>
          </w:tcPr>
          <w:p w:rsidR="00AD3CEC" w:rsidRPr="00CE67BA" w:rsidRDefault="00AD3CEC" w:rsidP="00432D79">
            <w:pPr>
              <w:widowControl/>
              <w:spacing w:line="240" w:lineRule="auto"/>
              <w:ind w:firstLine="0"/>
              <w:jc w:val="center"/>
              <w:rPr>
                <w:rFonts w:eastAsia="Times New Roman"/>
                <w:sz w:val="20"/>
                <w:lang w:eastAsia="uk-UA"/>
              </w:rPr>
            </w:pPr>
            <w:r w:rsidRPr="00CE67BA">
              <w:rPr>
                <w:rFonts w:eastAsia="Times New Roman"/>
                <w:sz w:val="20"/>
                <w:lang w:eastAsia="uk-UA"/>
              </w:rPr>
              <w:t>-</w:t>
            </w:r>
          </w:p>
        </w:tc>
      </w:tr>
      <w:tr w:rsidR="00AD3CEC" w:rsidRPr="00CE67BA" w:rsidTr="007D3DAC">
        <w:tc>
          <w:tcPr>
            <w:tcW w:w="3085" w:type="dxa"/>
          </w:tcPr>
          <w:p w:rsidR="00AD3CEC" w:rsidRPr="00CE67BA" w:rsidRDefault="00AD3CEC" w:rsidP="00432D79">
            <w:pPr>
              <w:widowControl/>
              <w:spacing w:line="240" w:lineRule="auto"/>
              <w:ind w:firstLine="0"/>
              <w:rPr>
                <w:rFonts w:eastAsia="Times New Roman"/>
                <w:sz w:val="20"/>
                <w:lang w:eastAsia="uk-UA"/>
              </w:rPr>
            </w:pPr>
            <w:r w:rsidRPr="00CE67BA">
              <w:rPr>
                <w:rFonts w:eastAsia="Times New Roman"/>
                <w:sz w:val="20"/>
                <w:lang w:eastAsia="uk-UA"/>
              </w:rPr>
              <w:t>Надані фінансові кредити</w:t>
            </w:r>
          </w:p>
        </w:tc>
        <w:tc>
          <w:tcPr>
            <w:tcW w:w="1984" w:type="dxa"/>
          </w:tcPr>
          <w:p w:rsidR="00AD3CEC" w:rsidRPr="00CE67BA" w:rsidRDefault="00AD3CEC" w:rsidP="00432D79">
            <w:pPr>
              <w:widowControl/>
              <w:spacing w:line="240" w:lineRule="auto"/>
              <w:ind w:firstLine="0"/>
              <w:jc w:val="center"/>
              <w:rPr>
                <w:rFonts w:eastAsia="Times New Roman"/>
                <w:sz w:val="20"/>
                <w:lang w:eastAsia="uk-UA"/>
              </w:rPr>
            </w:pPr>
            <w:r w:rsidRPr="00CE67BA">
              <w:rPr>
                <w:rFonts w:eastAsia="Times New Roman"/>
                <w:sz w:val="20"/>
                <w:lang w:eastAsia="uk-UA"/>
              </w:rPr>
              <w:t>5177</w:t>
            </w:r>
          </w:p>
        </w:tc>
      </w:tr>
      <w:tr w:rsidR="00AD3CEC" w:rsidRPr="00CE67BA" w:rsidTr="007D3DAC">
        <w:tc>
          <w:tcPr>
            <w:tcW w:w="3085" w:type="dxa"/>
          </w:tcPr>
          <w:p w:rsidR="00AD3CEC" w:rsidRPr="00CE67BA" w:rsidRDefault="00AD3CEC" w:rsidP="00432D79">
            <w:pPr>
              <w:widowControl/>
              <w:spacing w:line="240" w:lineRule="auto"/>
              <w:ind w:firstLine="0"/>
              <w:rPr>
                <w:rFonts w:eastAsia="Times New Roman"/>
                <w:sz w:val="20"/>
                <w:lang w:eastAsia="uk-UA"/>
              </w:rPr>
            </w:pPr>
            <w:r w:rsidRPr="00CE67BA">
              <w:rPr>
                <w:rFonts w:eastAsia="Times New Roman"/>
                <w:sz w:val="20"/>
                <w:lang w:eastAsia="uk-UA"/>
              </w:rPr>
              <w:t>Інша дебіторська заборгованість</w:t>
            </w:r>
          </w:p>
        </w:tc>
        <w:tc>
          <w:tcPr>
            <w:tcW w:w="1984" w:type="dxa"/>
          </w:tcPr>
          <w:p w:rsidR="00AD3CEC" w:rsidRPr="00CE67BA" w:rsidRDefault="00AD3CEC" w:rsidP="00781DF4">
            <w:pPr>
              <w:widowControl/>
              <w:spacing w:line="240" w:lineRule="auto"/>
              <w:ind w:firstLine="0"/>
              <w:jc w:val="center"/>
              <w:rPr>
                <w:rFonts w:eastAsia="Times New Roman"/>
                <w:sz w:val="20"/>
                <w:lang w:eastAsia="uk-UA"/>
              </w:rPr>
            </w:pPr>
            <w:r w:rsidRPr="00CE67BA">
              <w:rPr>
                <w:rFonts w:eastAsia="Times New Roman"/>
                <w:sz w:val="20"/>
                <w:lang w:eastAsia="uk-UA"/>
              </w:rPr>
              <w:t>-</w:t>
            </w:r>
          </w:p>
        </w:tc>
      </w:tr>
      <w:tr w:rsidR="00AD3CEC" w:rsidRPr="00CE67BA" w:rsidTr="007D3DAC">
        <w:tc>
          <w:tcPr>
            <w:tcW w:w="3085" w:type="dxa"/>
          </w:tcPr>
          <w:p w:rsidR="00AD3CEC" w:rsidRPr="00CE67BA" w:rsidRDefault="00AD3CEC" w:rsidP="00432D79">
            <w:pPr>
              <w:widowControl/>
              <w:spacing w:line="240" w:lineRule="auto"/>
              <w:ind w:firstLine="0"/>
              <w:rPr>
                <w:rFonts w:eastAsia="Times New Roman"/>
                <w:sz w:val="20"/>
                <w:lang w:eastAsia="uk-UA"/>
              </w:rPr>
            </w:pPr>
            <w:r w:rsidRPr="00CE67BA">
              <w:rPr>
                <w:rFonts w:eastAsia="Times New Roman"/>
                <w:sz w:val="20"/>
                <w:lang w:eastAsia="uk-UA"/>
              </w:rPr>
              <w:t>Всього</w:t>
            </w:r>
          </w:p>
        </w:tc>
        <w:tc>
          <w:tcPr>
            <w:tcW w:w="1984" w:type="dxa"/>
          </w:tcPr>
          <w:p w:rsidR="00AD3CEC" w:rsidRPr="00CE67BA" w:rsidRDefault="00AD3CEC" w:rsidP="00781DF4">
            <w:pPr>
              <w:widowControl/>
              <w:spacing w:line="240" w:lineRule="auto"/>
              <w:ind w:firstLine="0"/>
              <w:jc w:val="center"/>
              <w:rPr>
                <w:rFonts w:eastAsia="Times New Roman"/>
                <w:sz w:val="20"/>
                <w:lang w:eastAsia="uk-UA"/>
              </w:rPr>
            </w:pPr>
            <w:r w:rsidRPr="00CE67BA">
              <w:rPr>
                <w:rFonts w:eastAsia="Times New Roman"/>
                <w:sz w:val="20"/>
                <w:lang w:eastAsia="uk-UA"/>
              </w:rPr>
              <w:t>5177</w:t>
            </w:r>
          </w:p>
        </w:tc>
      </w:tr>
      <w:bookmarkEnd w:id="11"/>
    </w:tbl>
    <w:p w:rsidR="00CF029D" w:rsidRPr="00CE67BA" w:rsidRDefault="00CF029D" w:rsidP="00930756">
      <w:pPr>
        <w:widowControl/>
        <w:spacing w:line="240" w:lineRule="auto"/>
        <w:ind w:firstLine="709"/>
        <w:rPr>
          <w:rFonts w:eastAsia="Times New Roman"/>
          <w:b/>
          <w:sz w:val="24"/>
          <w:szCs w:val="24"/>
          <w:lang w:eastAsia="uk-UA"/>
        </w:rPr>
      </w:pPr>
    </w:p>
    <w:p w:rsidR="000E2FE5" w:rsidRPr="00CE67BA" w:rsidRDefault="006B7A58" w:rsidP="00CE67BA">
      <w:pPr>
        <w:widowControl/>
        <w:spacing w:line="240" w:lineRule="auto"/>
        <w:ind w:firstLine="709"/>
        <w:rPr>
          <w:rFonts w:eastAsia="Times New Roman"/>
          <w:sz w:val="24"/>
          <w:szCs w:val="24"/>
          <w:lang w:eastAsia="uk-UA"/>
        </w:rPr>
      </w:pPr>
      <w:r w:rsidRPr="00CE67BA">
        <w:rPr>
          <w:rFonts w:eastAsia="Times New Roman"/>
          <w:b/>
          <w:sz w:val="24"/>
          <w:szCs w:val="24"/>
          <w:lang w:eastAsia="uk-UA"/>
        </w:rPr>
        <w:t>11</w:t>
      </w:r>
      <w:r w:rsidR="00CF029D" w:rsidRPr="00CE67BA">
        <w:rPr>
          <w:rFonts w:eastAsia="Times New Roman"/>
          <w:b/>
          <w:sz w:val="24"/>
          <w:szCs w:val="24"/>
          <w:lang w:eastAsia="uk-UA"/>
        </w:rPr>
        <w:t xml:space="preserve">.6. </w:t>
      </w:r>
      <w:r w:rsidR="00AC256C" w:rsidRPr="00CE67BA">
        <w:rPr>
          <w:rFonts w:eastAsia="Times New Roman"/>
          <w:b/>
          <w:sz w:val="24"/>
          <w:szCs w:val="24"/>
          <w:lang w:eastAsia="uk-UA"/>
        </w:rPr>
        <w:t>Грошові кошти та їх еквіваленти</w:t>
      </w:r>
    </w:p>
    <w:p w:rsidR="000E2FE5" w:rsidRPr="00CE67BA" w:rsidRDefault="000E2FE5" w:rsidP="000E2FE5">
      <w:pPr>
        <w:widowControl/>
        <w:spacing w:line="240" w:lineRule="auto"/>
        <w:ind w:firstLine="0"/>
        <w:rPr>
          <w:sz w:val="24"/>
          <w:szCs w:val="24"/>
          <w:lang w:eastAsia="uk-UA"/>
        </w:rPr>
      </w:pPr>
      <w:r w:rsidRPr="00CE67BA">
        <w:rPr>
          <w:sz w:val="24"/>
          <w:szCs w:val="24"/>
          <w:lang w:eastAsia="uk-UA"/>
        </w:rPr>
        <w:t>Станом на 31 грудня 201</w:t>
      </w:r>
      <w:r w:rsidR="003F300C" w:rsidRPr="00CE67BA">
        <w:rPr>
          <w:sz w:val="24"/>
          <w:szCs w:val="24"/>
          <w:lang w:eastAsia="uk-UA"/>
        </w:rPr>
        <w:t>6</w:t>
      </w:r>
      <w:r w:rsidRPr="00CE67BA">
        <w:rPr>
          <w:sz w:val="24"/>
          <w:szCs w:val="24"/>
          <w:lang w:eastAsia="uk-UA"/>
        </w:rPr>
        <w:t xml:space="preserve"> року грошові кошти та їх еквіваленти включали наступне, тис. грн.:</w:t>
      </w:r>
    </w:p>
    <w:tbl>
      <w:tblPr>
        <w:tblW w:w="4463"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78"/>
        <w:gridCol w:w="1985"/>
      </w:tblGrid>
      <w:tr w:rsidR="0068248F" w:rsidRPr="00CE67BA" w:rsidTr="0068248F">
        <w:tc>
          <w:tcPr>
            <w:tcW w:w="2478" w:type="dxa"/>
            <w:vAlign w:val="center"/>
          </w:tcPr>
          <w:p w:rsidR="0068248F" w:rsidRPr="00CE67BA" w:rsidRDefault="0068248F" w:rsidP="000E2FE5">
            <w:pPr>
              <w:widowControl/>
              <w:spacing w:line="240" w:lineRule="auto"/>
              <w:ind w:firstLine="0"/>
              <w:jc w:val="center"/>
              <w:rPr>
                <w:sz w:val="20"/>
                <w:lang w:eastAsia="uk-UA"/>
              </w:rPr>
            </w:pPr>
          </w:p>
        </w:tc>
        <w:tc>
          <w:tcPr>
            <w:tcW w:w="1985" w:type="dxa"/>
            <w:vAlign w:val="center"/>
          </w:tcPr>
          <w:p w:rsidR="0068248F" w:rsidRPr="00CE67BA" w:rsidRDefault="0068248F" w:rsidP="000E2FE5">
            <w:pPr>
              <w:widowControl/>
              <w:spacing w:line="240" w:lineRule="auto"/>
              <w:ind w:firstLine="0"/>
              <w:jc w:val="center"/>
              <w:rPr>
                <w:sz w:val="20"/>
                <w:lang w:eastAsia="uk-UA"/>
              </w:rPr>
            </w:pPr>
            <w:r w:rsidRPr="00CE67BA">
              <w:rPr>
                <w:sz w:val="20"/>
                <w:lang w:eastAsia="uk-UA"/>
              </w:rPr>
              <w:t>Балансова вартість на </w:t>
            </w:r>
          </w:p>
          <w:p w:rsidR="0068248F" w:rsidRPr="00CE67BA" w:rsidRDefault="0068248F" w:rsidP="003F300C">
            <w:pPr>
              <w:widowControl/>
              <w:spacing w:line="240" w:lineRule="auto"/>
              <w:ind w:firstLine="0"/>
              <w:jc w:val="center"/>
              <w:rPr>
                <w:sz w:val="20"/>
                <w:lang w:eastAsia="uk-UA"/>
              </w:rPr>
            </w:pPr>
            <w:r w:rsidRPr="00CE67BA">
              <w:rPr>
                <w:sz w:val="20"/>
                <w:lang w:eastAsia="uk-UA"/>
              </w:rPr>
              <w:t xml:space="preserve"> 31.12.2016 </w:t>
            </w:r>
          </w:p>
        </w:tc>
      </w:tr>
      <w:tr w:rsidR="0068248F" w:rsidRPr="00CE67BA" w:rsidTr="0068248F">
        <w:trPr>
          <w:trHeight w:val="337"/>
        </w:trPr>
        <w:tc>
          <w:tcPr>
            <w:tcW w:w="2478" w:type="dxa"/>
            <w:vAlign w:val="center"/>
          </w:tcPr>
          <w:p w:rsidR="0068248F" w:rsidRPr="00CE67BA" w:rsidRDefault="0068248F" w:rsidP="000E2FE5">
            <w:pPr>
              <w:widowControl/>
              <w:spacing w:line="240" w:lineRule="auto"/>
              <w:ind w:firstLine="0"/>
              <w:jc w:val="center"/>
              <w:rPr>
                <w:sz w:val="20"/>
                <w:lang w:eastAsia="uk-UA"/>
              </w:rPr>
            </w:pPr>
            <w:r w:rsidRPr="00CE67BA">
              <w:rPr>
                <w:sz w:val="20"/>
                <w:lang w:eastAsia="uk-UA"/>
              </w:rPr>
              <w:t>Каса</w:t>
            </w:r>
          </w:p>
        </w:tc>
        <w:tc>
          <w:tcPr>
            <w:tcW w:w="1985" w:type="dxa"/>
            <w:vAlign w:val="center"/>
          </w:tcPr>
          <w:p w:rsidR="0068248F" w:rsidRPr="00CE67BA" w:rsidRDefault="0068248F" w:rsidP="000E2FE5">
            <w:pPr>
              <w:widowControl/>
              <w:spacing w:line="240" w:lineRule="auto"/>
              <w:ind w:firstLine="0"/>
              <w:jc w:val="center"/>
              <w:rPr>
                <w:sz w:val="20"/>
                <w:lang w:eastAsia="uk-UA"/>
              </w:rPr>
            </w:pPr>
            <w:r w:rsidRPr="00CE67BA">
              <w:rPr>
                <w:sz w:val="20"/>
                <w:lang w:eastAsia="uk-UA"/>
              </w:rPr>
              <w:t>35</w:t>
            </w:r>
          </w:p>
        </w:tc>
      </w:tr>
      <w:tr w:rsidR="0068248F" w:rsidRPr="00CE67BA" w:rsidTr="0068248F">
        <w:tc>
          <w:tcPr>
            <w:tcW w:w="2478" w:type="dxa"/>
            <w:vAlign w:val="center"/>
          </w:tcPr>
          <w:p w:rsidR="0068248F" w:rsidRPr="00CE67BA" w:rsidRDefault="0068248F" w:rsidP="000E2FE5">
            <w:pPr>
              <w:widowControl/>
              <w:spacing w:line="240" w:lineRule="auto"/>
              <w:ind w:firstLine="0"/>
              <w:jc w:val="center"/>
              <w:rPr>
                <w:sz w:val="20"/>
                <w:lang w:eastAsia="uk-UA"/>
              </w:rPr>
            </w:pPr>
            <w:r w:rsidRPr="00CE67BA">
              <w:rPr>
                <w:sz w:val="20"/>
                <w:lang w:eastAsia="uk-UA"/>
              </w:rPr>
              <w:t>Поточний рахунок банку</w:t>
            </w:r>
          </w:p>
        </w:tc>
        <w:tc>
          <w:tcPr>
            <w:tcW w:w="1985" w:type="dxa"/>
            <w:vAlign w:val="center"/>
          </w:tcPr>
          <w:p w:rsidR="0068248F" w:rsidRPr="00CE67BA" w:rsidRDefault="0068248F" w:rsidP="000E2FE5">
            <w:pPr>
              <w:widowControl/>
              <w:spacing w:line="240" w:lineRule="auto"/>
              <w:ind w:firstLine="0"/>
              <w:jc w:val="center"/>
              <w:rPr>
                <w:sz w:val="20"/>
                <w:lang w:eastAsia="uk-UA"/>
              </w:rPr>
            </w:pPr>
            <w:r w:rsidRPr="00CE67BA">
              <w:rPr>
                <w:sz w:val="20"/>
                <w:lang w:eastAsia="uk-UA"/>
              </w:rPr>
              <w:t>-</w:t>
            </w:r>
          </w:p>
        </w:tc>
      </w:tr>
      <w:tr w:rsidR="0068248F" w:rsidRPr="00CE67BA" w:rsidTr="0068248F">
        <w:tc>
          <w:tcPr>
            <w:tcW w:w="2478" w:type="dxa"/>
            <w:vAlign w:val="center"/>
          </w:tcPr>
          <w:p w:rsidR="0068248F" w:rsidRPr="00CE67BA" w:rsidRDefault="0068248F" w:rsidP="000E2FE5">
            <w:pPr>
              <w:widowControl/>
              <w:spacing w:line="240" w:lineRule="auto"/>
              <w:ind w:firstLine="0"/>
              <w:jc w:val="center"/>
              <w:rPr>
                <w:sz w:val="20"/>
                <w:lang w:eastAsia="uk-UA"/>
              </w:rPr>
            </w:pPr>
            <w:r w:rsidRPr="00CE67BA">
              <w:rPr>
                <w:sz w:val="20"/>
                <w:lang w:eastAsia="uk-UA"/>
              </w:rPr>
              <w:t>Разом</w:t>
            </w:r>
          </w:p>
        </w:tc>
        <w:tc>
          <w:tcPr>
            <w:tcW w:w="1985" w:type="dxa"/>
            <w:vAlign w:val="center"/>
          </w:tcPr>
          <w:p w:rsidR="0068248F" w:rsidRPr="00CE67BA" w:rsidRDefault="0068248F" w:rsidP="000E2FE5">
            <w:pPr>
              <w:widowControl/>
              <w:spacing w:line="240" w:lineRule="auto"/>
              <w:ind w:firstLine="0"/>
              <w:jc w:val="center"/>
              <w:rPr>
                <w:sz w:val="20"/>
                <w:lang w:eastAsia="uk-UA"/>
              </w:rPr>
            </w:pPr>
            <w:r w:rsidRPr="00CE67BA">
              <w:rPr>
                <w:sz w:val="20"/>
                <w:lang w:eastAsia="uk-UA"/>
              </w:rPr>
              <w:t>35</w:t>
            </w:r>
          </w:p>
        </w:tc>
      </w:tr>
    </w:tbl>
    <w:p w:rsidR="009667FE" w:rsidRPr="00CE67BA" w:rsidRDefault="009667FE" w:rsidP="009667FE">
      <w:pPr>
        <w:widowControl/>
        <w:spacing w:line="240" w:lineRule="auto"/>
        <w:ind w:firstLine="0"/>
        <w:jc w:val="center"/>
        <w:rPr>
          <w:rFonts w:eastAsia="Times New Roman"/>
          <w:sz w:val="20"/>
          <w:lang w:eastAsia="uk-UA"/>
        </w:rPr>
      </w:pPr>
    </w:p>
    <w:p w:rsidR="00F94380" w:rsidRPr="00CE67BA" w:rsidRDefault="006B7A58" w:rsidP="00CF029D">
      <w:pPr>
        <w:pStyle w:val="21"/>
        <w:keepNext/>
        <w:keepLines/>
        <w:shd w:val="clear" w:color="auto" w:fill="auto"/>
        <w:spacing w:after="93" w:line="200" w:lineRule="exact"/>
        <w:ind w:left="60" w:firstLine="648"/>
        <w:rPr>
          <w:rFonts w:ascii="Times New Roman" w:hAnsi="Times New Roman"/>
          <w:lang w:eastAsia="uk-UA"/>
        </w:rPr>
      </w:pPr>
      <w:bookmarkStart w:id="12" w:name="bookmark50"/>
      <w:r w:rsidRPr="00CE67BA">
        <w:rPr>
          <w:rFonts w:ascii="Times New Roman" w:eastAsia="Times New Roman" w:hAnsi="Times New Roman"/>
          <w:bCs w:val="0"/>
          <w:noProof w:val="0"/>
          <w:sz w:val="24"/>
          <w:szCs w:val="24"/>
          <w:lang w:val="uk-UA" w:eastAsia="uk-UA"/>
        </w:rPr>
        <w:t>11</w:t>
      </w:r>
      <w:r w:rsidR="00CF029D" w:rsidRPr="00CE67BA">
        <w:rPr>
          <w:rFonts w:ascii="Times New Roman" w:eastAsia="Times New Roman" w:hAnsi="Times New Roman"/>
          <w:bCs w:val="0"/>
          <w:noProof w:val="0"/>
          <w:sz w:val="24"/>
          <w:szCs w:val="24"/>
          <w:lang w:val="uk-UA" w:eastAsia="uk-UA"/>
        </w:rPr>
        <w:t>.7</w:t>
      </w:r>
      <w:r w:rsidR="00F94380" w:rsidRPr="00CE67BA">
        <w:rPr>
          <w:rFonts w:ascii="Times New Roman" w:eastAsia="Times New Roman" w:hAnsi="Times New Roman"/>
          <w:bCs w:val="0"/>
          <w:noProof w:val="0"/>
          <w:sz w:val="24"/>
          <w:szCs w:val="24"/>
          <w:lang w:val="uk-UA" w:eastAsia="uk-UA"/>
        </w:rPr>
        <w:t>. Статутний капітал</w:t>
      </w:r>
      <w:bookmarkEnd w:id="12"/>
    </w:p>
    <w:p w:rsidR="00F94380" w:rsidRPr="00CE67BA" w:rsidRDefault="00F94380" w:rsidP="00F94380">
      <w:pPr>
        <w:pStyle w:val="4"/>
        <w:ind w:left="0"/>
        <w:rPr>
          <w:rFonts w:ascii="Times New Roman" w:hAnsi="Times New Roman"/>
          <w:b w:val="0"/>
          <w:szCs w:val="24"/>
          <w:lang w:eastAsia="uk-UA"/>
        </w:rPr>
      </w:pPr>
      <w:r w:rsidRPr="00CE67BA">
        <w:rPr>
          <w:rFonts w:ascii="Times New Roman" w:hAnsi="Times New Roman"/>
          <w:b w:val="0"/>
          <w:szCs w:val="24"/>
          <w:lang w:eastAsia="uk-UA"/>
        </w:rPr>
        <w:t>Станом  на 31.12.201</w:t>
      </w:r>
      <w:r w:rsidR="00A57EE6" w:rsidRPr="00CE67BA">
        <w:rPr>
          <w:rFonts w:ascii="Times New Roman" w:hAnsi="Times New Roman"/>
          <w:b w:val="0"/>
          <w:szCs w:val="24"/>
          <w:lang w:eastAsia="uk-UA"/>
        </w:rPr>
        <w:t>6</w:t>
      </w:r>
      <w:r w:rsidRPr="00CE67BA">
        <w:rPr>
          <w:rFonts w:ascii="Times New Roman" w:hAnsi="Times New Roman"/>
          <w:b w:val="0"/>
          <w:szCs w:val="24"/>
          <w:lang w:eastAsia="uk-UA"/>
        </w:rPr>
        <w:t xml:space="preserve">  р. власний капітал Товариства складає </w:t>
      </w:r>
      <w:r w:rsidR="00FF690F" w:rsidRPr="00CE67BA">
        <w:rPr>
          <w:rFonts w:ascii="Times New Roman" w:hAnsi="Times New Roman"/>
          <w:b w:val="0"/>
          <w:szCs w:val="24"/>
          <w:lang w:eastAsia="uk-UA"/>
        </w:rPr>
        <w:t>5207</w:t>
      </w:r>
      <w:r w:rsidRPr="00CE67BA">
        <w:rPr>
          <w:rFonts w:ascii="Times New Roman" w:hAnsi="Times New Roman"/>
          <w:b w:val="0"/>
          <w:szCs w:val="24"/>
          <w:lang w:eastAsia="uk-UA"/>
        </w:rPr>
        <w:t xml:space="preserve"> тис. грн., у т.ч.:</w:t>
      </w:r>
    </w:p>
    <w:p w:rsidR="00F94380" w:rsidRPr="00CE67BA" w:rsidRDefault="00F94380" w:rsidP="00F94380">
      <w:pPr>
        <w:numPr>
          <w:ilvl w:val="0"/>
          <w:numId w:val="25"/>
        </w:numPr>
        <w:spacing w:line="240" w:lineRule="auto"/>
        <w:rPr>
          <w:rFonts w:eastAsia="Times New Roman"/>
          <w:sz w:val="24"/>
          <w:szCs w:val="24"/>
          <w:lang w:eastAsia="uk-UA"/>
        </w:rPr>
      </w:pPr>
      <w:r w:rsidRPr="00CE67BA">
        <w:rPr>
          <w:rFonts w:eastAsia="Times New Roman"/>
          <w:sz w:val="24"/>
          <w:szCs w:val="24"/>
          <w:lang w:eastAsia="uk-UA"/>
        </w:rPr>
        <w:t xml:space="preserve">статутний капітал (складений капітал) – </w:t>
      </w:r>
      <w:r w:rsidR="00FF690F" w:rsidRPr="00CE67BA">
        <w:rPr>
          <w:rFonts w:eastAsia="Times New Roman"/>
          <w:sz w:val="24"/>
          <w:szCs w:val="24"/>
          <w:lang w:eastAsia="uk-UA"/>
        </w:rPr>
        <w:t>5200</w:t>
      </w:r>
      <w:r w:rsidRPr="00CE67BA">
        <w:rPr>
          <w:rFonts w:eastAsia="Times New Roman"/>
          <w:sz w:val="24"/>
          <w:szCs w:val="24"/>
          <w:lang w:eastAsia="uk-UA"/>
        </w:rPr>
        <w:t>тис. грн.;</w:t>
      </w:r>
    </w:p>
    <w:p w:rsidR="00F94380" w:rsidRPr="00CE67BA" w:rsidRDefault="00F94380" w:rsidP="00F94380">
      <w:pPr>
        <w:numPr>
          <w:ilvl w:val="0"/>
          <w:numId w:val="25"/>
        </w:numPr>
        <w:spacing w:line="240" w:lineRule="auto"/>
        <w:rPr>
          <w:rFonts w:eastAsia="Times New Roman"/>
          <w:sz w:val="24"/>
          <w:szCs w:val="24"/>
          <w:lang w:eastAsia="uk-UA"/>
        </w:rPr>
      </w:pPr>
      <w:r w:rsidRPr="00CE67BA">
        <w:rPr>
          <w:rFonts w:eastAsia="Times New Roman"/>
          <w:sz w:val="24"/>
          <w:szCs w:val="24"/>
          <w:lang w:eastAsia="uk-UA"/>
        </w:rPr>
        <w:t xml:space="preserve">нерозподілений прибуток – </w:t>
      </w:r>
      <w:r w:rsidR="001602C2" w:rsidRPr="00CE67BA">
        <w:rPr>
          <w:rFonts w:eastAsia="Times New Roman"/>
          <w:sz w:val="24"/>
          <w:szCs w:val="24"/>
          <w:lang w:eastAsia="uk-UA"/>
        </w:rPr>
        <w:t xml:space="preserve"> </w:t>
      </w:r>
      <w:r w:rsidR="00FF690F" w:rsidRPr="00CE67BA">
        <w:rPr>
          <w:rFonts w:eastAsia="Times New Roman"/>
          <w:sz w:val="24"/>
          <w:szCs w:val="24"/>
          <w:lang w:eastAsia="uk-UA"/>
        </w:rPr>
        <w:t>7,0</w:t>
      </w:r>
      <w:r w:rsidR="0096085E" w:rsidRPr="00CE67BA">
        <w:rPr>
          <w:rFonts w:eastAsia="Times New Roman"/>
          <w:sz w:val="24"/>
          <w:szCs w:val="24"/>
          <w:lang w:eastAsia="uk-UA"/>
        </w:rPr>
        <w:t xml:space="preserve"> </w:t>
      </w:r>
      <w:r w:rsidRPr="00CE67BA">
        <w:rPr>
          <w:rFonts w:eastAsia="Times New Roman"/>
          <w:sz w:val="24"/>
          <w:szCs w:val="24"/>
          <w:lang w:eastAsia="uk-UA"/>
        </w:rPr>
        <w:t>тис. грн.;</w:t>
      </w:r>
    </w:p>
    <w:p w:rsidR="00F94380" w:rsidRPr="00CE67BA" w:rsidRDefault="00F94380" w:rsidP="00F94380">
      <w:pPr>
        <w:spacing w:line="240" w:lineRule="auto"/>
        <w:ind w:firstLine="0"/>
        <w:rPr>
          <w:sz w:val="23"/>
          <w:szCs w:val="23"/>
        </w:rPr>
      </w:pPr>
      <w:r w:rsidRPr="00CE67BA">
        <w:rPr>
          <w:sz w:val="23"/>
          <w:szCs w:val="23"/>
        </w:rPr>
        <w:t>Учасники та їх частки в статутному (складеному) фонді товариства станом на 31.12.201</w:t>
      </w:r>
      <w:r w:rsidR="00902A04" w:rsidRPr="00CE67BA">
        <w:rPr>
          <w:sz w:val="23"/>
          <w:szCs w:val="23"/>
        </w:rPr>
        <w:t>6</w:t>
      </w:r>
      <w:r w:rsidRPr="00CE67BA">
        <w:rPr>
          <w:sz w:val="23"/>
          <w:szCs w:val="23"/>
        </w:rPr>
        <w:t xml:space="preserve"> р.</w:t>
      </w:r>
    </w:p>
    <w:p w:rsidR="00FF690F" w:rsidRPr="00CE67BA" w:rsidRDefault="00FF690F" w:rsidP="00FF690F">
      <w:pPr>
        <w:tabs>
          <w:tab w:val="left" w:pos="-3060"/>
        </w:tabs>
        <w:ind w:firstLine="567"/>
        <w:rPr>
          <w:b/>
          <w:iCs/>
          <w:snapToGrid w:val="0"/>
          <w:sz w:val="24"/>
          <w:szCs w:val="24"/>
        </w:rPr>
      </w:pPr>
      <w:r w:rsidRPr="00CE67BA">
        <w:rPr>
          <w:b/>
          <w:iCs/>
          <w:snapToGrid w:val="0"/>
          <w:sz w:val="24"/>
          <w:szCs w:val="24"/>
        </w:rPr>
        <w:t>Рожков Володимир Леонідович</w:t>
      </w:r>
      <w:r w:rsidRPr="00CE67BA">
        <w:rPr>
          <w:sz w:val="22"/>
          <w:szCs w:val="22"/>
        </w:rPr>
        <w:t xml:space="preserve"> ,</w:t>
      </w:r>
    </w:p>
    <w:p w:rsidR="00F94380" w:rsidRPr="00CE67BA" w:rsidRDefault="00FF690F" w:rsidP="00FF690F">
      <w:pPr>
        <w:tabs>
          <w:tab w:val="left" w:pos="709"/>
        </w:tabs>
        <w:jc w:val="left"/>
        <w:rPr>
          <w:rFonts w:eastAsia="Times New Roman"/>
          <w:sz w:val="24"/>
          <w:szCs w:val="24"/>
          <w:lang w:eastAsia="uk-UA"/>
        </w:rPr>
      </w:pPr>
      <w:r w:rsidRPr="00CE67BA">
        <w:rPr>
          <w:iCs/>
          <w:snapToGrid w:val="0"/>
          <w:sz w:val="24"/>
          <w:szCs w:val="24"/>
        </w:rPr>
        <w:t>який мешкає в м.  Києві ,</w:t>
      </w:r>
      <w:proofErr w:type="spellStart"/>
      <w:r w:rsidRPr="00CE67BA">
        <w:rPr>
          <w:iCs/>
          <w:snapToGrid w:val="0"/>
          <w:sz w:val="24"/>
          <w:szCs w:val="24"/>
        </w:rPr>
        <w:t>вул.Малиновського</w:t>
      </w:r>
      <w:proofErr w:type="spellEnd"/>
      <w:r w:rsidRPr="00CE67BA">
        <w:rPr>
          <w:iCs/>
          <w:snapToGrid w:val="0"/>
          <w:sz w:val="24"/>
          <w:szCs w:val="24"/>
        </w:rPr>
        <w:t xml:space="preserve"> 27/23 кв.442,</w:t>
      </w:r>
      <w:r w:rsidRPr="00CE67BA">
        <w:rPr>
          <w:iCs/>
          <w:sz w:val="24"/>
          <w:szCs w:val="24"/>
        </w:rPr>
        <w:t xml:space="preserve"> </w:t>
      </w:r>
      <w:r w:rsidRPr="00CE67BA">
        <w:rPr>
          <w:sz w:val="24"/>
          <w:szCs w:val="24"/>
        </w:rPr>
        <w:t>володіє  100 % Статутного капіталу Товариства</w:t>
      </w:r>
      <w:r w:rsidR="00440D7F" w:rsidRPr="00CE67BA">
        <w:rPr>
          <w:sz w:val="24"/>
          <w:szCs w:val="24"/>
        </w:rPr>
        <w:t>.</w:t>
      </w:r>
      <w:r w:rsidR="00F94380" w:rsidRPr="00CE67BA">
        <w:rPr>
          <w:rFonts w:eastAsia="Times New Roman"/>
          <w:sz w:val="24"/>
          <w:szCs w:val="24"/>
          <w:lang w:eastAsia="uk-UA"/>
        </w:rPr>
        <w:t xml:space="preserve"> Учасник</w:t>
      </w:r>
      <w:r w:rsidRPr="00CE67BA">
        <w:rPr>
          <w:rFonts w:eastAsia="Times New Roman"/>
          <w:sz w:val="24"/>
          <w:szCs w:val="24"/>
          <w:lang w:eastAsia="uk-UA"/>
        </w:rPr>
        <w:t>ом</w:t>
      </w:r>
      <w:r w:rsidR="00F94380" w:rsidRPr="00CE67BA">
        <w:rPr>
          <w:rFonts w:eastAsia="Times New Roman"/>
          <w:sz w:val="24"/>
          <w:szCs w:val="24"/>
          <w:lang w:eastAsia="uk-UA"/>
        </w:rPr>
        <w:t xml:space="preserve"> створено Складений капітал у розмірі </w:t>
      </w:r>
      <w:r w:rsidRPr="00CE67BA">
        <w:rPr>
          <w:rFonts w:eastAsia="Times New Roman"/>
          <w:sz w:val="24"/>
          <w:szCs w:val="24"/>
          <w:lang w:eastAsia="uk-UA"/>
        </w:rPr>
        <w:t>5 200 000,00</w:t>
      </w:r>
      <w:r w:rsidR="00F94380" w:rsidRPr="00CE67BA">
        <w:rPr>
          <w:rFonts w:eastAsia="Times New Roman"/>
          <w:sz w:val="24"/>
          <w:szCs w:val="24"/>
          <w:lang w:eastAsia="uk-UA"/>
        </w:rPr>
        <w:t>(</w:t>
      </w:r>
      <w:r w:rsidRPr="00CE67BA">
        <w:rPr>
          <w:sz w:val="22"/>
          <w:szCs w:val="22"/>
        </w:rPr>
        <w:t xml:space="preserve">п'ять мільйонів двісті тисяч) грн. 00 </w:t>
      </w:r>
      <w:r w:rsidR="00E16D5A" w:rsidRPr="00CE67BA">
        <w:rPr>
          <w:rFonts w:eastAsia="Times New Roman"/>
          <w:sz w:val="24"/>
          <w:szCs w:val="24"/>
          <w:lang w:eastAsia="uk-UA"/>
        </w:rPr>
        <w:t xml:space="preserve"> </w:t>
      </w:r>
      <w:r w:rsidRPr="00CE67BA">
        <w:rPr>
          <w:rFonts w:eastAsia="Times New Roman"/>
          <w:sz w:val="24"/>
          <w:szCs w:val="24"/>
          <w:lang w:eastAsia="uk-UA"/>
        </w:rPr>
        <w:t>.</w:t>
      </w:r>
    </w:p>
    <w:p w:rsidR="00F94380" w:rsidRPr="00CE67BA" w:rsidRDefault="00F94380" w:rsidP="00C12476">
      <w:pPr>
        <w:pStyle w:val="3"/>
        <w:ind w:left="0" w:firstLine="0"/>
        <w:rPr>
          <w:rFonts w:eastAsia="Times New Roman"/>
          <w:bCs/>
          <w:sz w:val="24"/>
          <w:szCs w:val="24"/>
          <w:lang w:eastAsia="uk-UA"/>
        </w:rPr>
      </w:pPr>
      <w:r w:rsidRPr="00CE67BA">
        <w:rPr>
          <w:rFonts w:eastAsia="Times New Roman"/>
          <w:bCs/>
          <w:sz w:val="24"/>
          <w:szCs w:val="24"/>
          <w:lang w:eastAsia="uk-UA"/>
        </w:rPr>
        <w:t>Для формування Складеного капіталу Учасники передають Товариству грошові кошти. Станом на 31.12.201</w:t>
      </w:r>
      <w:r w:rsidR="00902A04" w:rsidRPr="00CE67BA">
        <w:rPr>
          <w:rFonts w:eastAsia="Times New Roman"/>
          <w:bCs/>
          <w:sz w:val="24"/>
          <w:szCs w:val="24"/>
          <w:lang w:eastAsia="uk-UA"/>
        </w:rPr>
        <w:t>6</w:t>
      </w:r>
      <w:r w:rsidRPr="00CE67BA">
        <w:rPr>
          <w:rFonts w:eastAsia="Times New Roman"/>
          <w:bCs/>
          <w:sz w:val="24"/>
          <w:szCs w:val="24"/>
          <w:lang w:eastAsia="uk-UA"/>
        </w:rPr>
        <w:t xml:space="preserve"> р. сплачений Складений капітал складає  </w:t>
      </w:r>
      <w:r w:rsidR="00FF690F" w:rsidRPr="00CE67BA">
        <w:rPr>
          <w:rFonts w:eastAsia="Times New Roman"/>
          <w:bCs/>
          <w:sz w:val="24"/>
          <w:szCs w:val="24"/>
          <w:lang w:eastAsia="uk-UA"/>
        </w:rPr>
        <w:t>5 200,00</w:t>
      </w:r>
      <w:r w:rsidRPr="00CE67BA">
        <w:rPr>
          <w:rFonts w:eastAsia="Times New Roman"/>
          <w:bCs/>
          <w:sz w:val="24"/>
          <w:szCs w:val="24"/>
          <w:lang w:eastAsia="uk-UA"/>
        </w:rPr>
        <w:t xml:space="preserve"> тис. грн., </w:t>
      </w:r>
    </w:p>
    <w:p w:rsidR="006B7A58" w:rsidRPr="00CE67BA" w:rsidRDefault="006B7A58" w:rsidP="006B7A58">
      <w:pPr>
        <w:widowControl/>
        <w:spacing w:line="240" w:lineRule="auto"/>
        <w:ind w:firstLine="708"/>
        <w:rPr>
          <w:rFonts w:eastAsia="Times New Roman"/>
          <w:b/>
          <w:sz w:val="24"/>
          <w:szCs w:val="24"/>
          <w:lang w:eastAsia="uk-UA"/>
        </w:rPr>
      </w:pPr>
      <w:r w:rsidRPr="00CE67BA">
        <w:rPr>
          <w:rFonts w:eastAsia="Times New Roman"/>
          <w:b/>
          <w:sz w:val="24"/>
          <w:szCs w:val="24"/>
          <w:lang w:eastAsia="uk-UA"/>
        </w:rPr>
        <w:t>11.8.Торгова і інша кредиторська заборгованість</w:t>
      </w:r>
    </w:p>
    <w:p w:rsidR="006B7A58" w:rsidRPr="00CE67BA" w:rsidRDefault="006B7A58" w:rsidP="006B7A58">
      <w:pPr>
        <w:pStyle w:val="aa"/>
        <w:spacing w:after="190" w:line="250" w:lineRule="exact"/>
        <w:ind w:left="20" w:right="560"/>
        <w:rPr>
          <w:rFonts w:ascii="Times New Roman" w:hAnsi="Times New Roman"/>
          <w:lang w:eastAsia="uk-UA"/>
        </w:rPr>
      </w:pPr>
      <w:r w:rsidRPr="00CE67BA">
        <w:rPr>
          <w:rFonts w:ascii="Times New Roman" w:hAnsi="Times New Roman"/>
          <w:lang w:eastAsia="uk-UA"/>
        </w:rPr>
        <w:t>Станом на 31.12.2016 року, торгова і інша кредиторська заборгованість включала наступне:</w:t>
      </w:r>
    </w:p>
    <w:tbl>
      <w:tblPr>
        <w:tblStyle w:val="a5"/>
        <w:tblW w:w="5495" w:type="dxa"/>
        <w:tblLayout w:type="fixed"/>
        <w:tblLook w:val="04A0"/>
      </w:tblPr>
      <w:tblGrid>
        <w:gridCol w:w="3085"/>
        <w:gridCol w:w="2410"/>
      </w:tblGrid>
      <w:tr w:rsidR="006B7A58" w:rsidRPr="00CE67BA" w:rsidTr="006B7A58">
        <w:tc>
          <w:tcPr>
            <w:tcW w:w="3085" w:type="dxa"/>
          </w:tcPr>
          <w:p w:rsidR="006B7A58" w:rsidRPr="00CE67BA" w:rsidRDefault="006B7A58" w:rsidP="006B7A58">
            <w:pPr>
              <w:pStyle w:val="21"/>
              <w:keepNext/>
              <w:keepLines/>
              <w:shd w:val="clear" w:color="auto" w:fill="auto"/>
              <w:spacing w:after="58" w:line="200" w:lineRule="exact"/>
              <w:rPr>
                <w:rFonts w:eastAsia="Times New Roman"/>
                <w:sz w:val="24"/>
                <w:szCs w:val="24"/>
                <w:lang w:val="uk-UA" w:eastAsia="uk-UA"/>
              </w:rPr>
            </w:pPr>
          </w:p>
        </w:tc>
        <w:tc>
          <w:tcPr>
            <w:tcW w:w="2410" w:type="dxa"/>
          </w:tcPr>
          <w:p w:rsidR="006B7A58" w:rsidRPr="00CE67BA" w:rsidRDefault="006B7A58" w:rsidP="006B7A58">
            <w:pPr>
              <w:widowControl/>
              <w:spacing w:line="240" w:lineRule="auto"/>
              <w:ind w:firstLine="0"/>
              <w:jc w:val="center"/>
              <w:rPr>
                <w:rFonts w:eastAsia="Times New Roman"/>
                <w:sz w:val="20"/>
                <w:lang w:eastAsia="uk-UA"/>
              </w:rPr>
            </w:pPr>
            <w:r w:rsidRPr="00CE67BA">
              <w:rPr>
                <w:rFonts w:eastAsia="Times New Roman"/>
                <w:sz w:val="20"/>
                <w:lang w:eastAsia="uk-UA"/>
              </w:rPr>
              <w:t>Балансова вартість</w:t>
            </w:r>
          </w:p>
          <w:p w:rsidR="006B7A58" w:rsidRPr="00CE67BA" w:rsidRDefault="006B7A58" w:rsidP="006B7A58">
            <w:pPr>
              <w:widowControl/>
              <w:spacing w:line="240" w:lineRule="auto"/>
              <w:ind w:firstLine="0"/>
              <w:jc w:val="center"/>
              <w:rPr>
                <w:rFonts w:eastAsia="Times New Roman"/>
                <w:sz w:val="20"/>
                <w:lang w:eastAsia="uk-UA"/>
              </w:rPr>
            </w:pPr>
            <w:r w:rsidRPr="00CE67BA">
              <w:rPr>
                <w:rFonts w:eastAsia="Times New Roman"/>
                <w:sz w:val="20"/>
                <w:lang w:eastAsia="uk-UA"/>
              </w:rPr>
              <w:t> на 31.12.2016</w:t>
            </w:r>
          </w:p>
        </w:tc>
      </w:tr>
      <w:tr w:rsidR="006B7A58" w:rsidRPr="00CE67BA" w:rsidTr="006B7A58">
        <w:tc>
          <w:tcPr>
            <w:tcW w:w="3085" w:type="dxa"/>
          </w:tcPr>
          <w:p w:rsidR="006B7A58" w:rsidRPr="00CE67BA" w:rsidRDefault="006B7A58" w:rsidP="006B7A58">
            <w:pPr>
              <w:widowControl/>
              <w:spacing w:line="240" w:lineRule="auto"/>
              <w:ind w:firstLine="0"/>
              <w:rPr>
                <w:rFonts w:eastAsia="Times New Roman"/>
                <w:sz w:val="20"/>
                <w:lang w:eastAsia="uk-UA"/>
              </w:rPr>
            </w:pPr>
            <w:r w:rsidRPr="00CE67BA">
              <w:rPr>
                <w:rFonts w:eastAsia="Times New Roman"/>
                <w:sz w:val="20"/>
                <w:lang w:eastAsia="uk-UA"/>
              </w:rPr>
              <w:t xml:space="preserve">Кредиторська заборгованість за товари, роботі, послуги </w:t>
            </w:r>
          </w:p>
        </w:tc>
        <w:tc>
          <w:tcPr>
            <w:tcW w:w="2410" w:type="dxa"/>
          </w:tcPr>
          <w:p w:rsidR="006B7A58" w:rsidRPr="00CE67BA" w:rsidRDefault="006B7A58" w:rsidP="006B7A58">
            <w:pPr>
              <w:widowControl/>
              <w:spacing w:line="240" w:lineRule="auto"/>
              <w:ind w:firstLine="0"/>
              <w:jc w:val="center"/>
              <w:rPr>
                <w:rFonts w:eastAsia="Times New Roman"/>
                <w:sz w:val="20"/>
                <w:lang w:eastAsia="uk-UA"/>
              </w:rPr>
            </w:pPr>
            <w:r w:rsidRPr="00CE67BA">
              <w:rPr>
                <w:rFonts w:eastAsia="Times New Roman"/>
                <w:sz w:val="20"/>
                <w:lang w:eastAsia="uk-UA"/>
              </w:rPr>
              <w:t>2</w:t>
            </w:r>
          </w:p>
        </w:tc>
      </w:tr>
      <w:tr w:rsidR="006B7A58" w:rsidRPr="00CE67BA" w:rsidTr="006B7A58">
        <w:trPr>
          <w:trHeight w:val="519"/>
        </w:trPr>
        <w:tc>
          <w:tcPr>
            <w:tcW w:w="3085" w:type="dxa"/>
          </w:tcPr>
          <w:p w:rsidR="006B7A58" w:rsidRPr="00CE67BA" w:rsidRDefault="006B7A58" w:rsidP="006B7A58">
            <w:pPr>
              <w:widowControl/>
              <w:spacing w:line="240" w:lineRule="auto"/>
              <w:ind w:firstLine="0"/>
              <w:rPr>
                <w:rFonts w:eastAsia="Times New Roman"/>
                <w:sz w:val="20"/>
                <w:lang w:eastAsia="uk-UA"/>
              </w:rPr>
            </w:pPr>
            <w:r w:rsidRPr="00CE67BA">
              <w:rPr>
                <w:rFonts w:eastAsia="Times New Roman"/>
                <w:sz w:val="20"/>
                <w:lang w:eastAsia="uk-UA"/>
              </w:rPr>
              <w:t>Заборгованість по розрахункам з бюджетом</w:t>
            </w:r>
          </w:p>
        </w:tc>
        <w:tc>
          <w:tcPr>
            <w:tcW w:w="2410" w:type="dxa"/>
          </w:tcPr>
          <w:p w:rsidR="006B7A58" w:rsidRPr="00CE67BA" w:rsidRDefault="006B7A58" w:rsidP="006B7A58">
            <w:pPr>
              <w:widowControl/>
              <w:spacing w:line="240" w:lineRule="auto"/>
              <w:ind w:firstLine="0"/>
              <w:jc w:val="center"/>
              <w:rPr>
                <w:rFonts w:eastAsia="Times New Roman"/>
                <w:sz w:val="20"/>
                <w:lang w:eastAsia="uk-UA"/>
              </w:rPr>
            </w:pPr>
            <w:r w:rsidRPr="00CE67BA">
              <w:rPr>
                <w:rFonts w:eastAsia="Times New Roman"/>
                <w:sz w:val="20"/>
                <w:lang w:eastAsia="uk-UA"/>
              </w:rPr>
              <w:t>2</w:t>
            </w:r>
          </w:p>
        </w:tc>
      </w:tr>
      <w:tr w:rsidR="006B7A58" w:rsidRPr="00CE67BA" w:rsidTr="006B7A58">
        <w:tc>
          <w:tcPr>
            <w:tcW w:w="3085" w:type="dxa"/>
          </w:tcPr>
          <w:p w:rsidR="006B7A58" w:rsidRPr="00CE67BA" w:rsidRDefault="006B7A58" w:rsidP="006B7A58">
            <w:pPr>
              <w:widowControl/>
              <w:spacing w:line="240" w:lineRule="auto"/>
              <w:ind w:firstLine="0"/>
              <w:rPr>
                <w:rFonts w:eastAsia="Times New Roman"/>
                <w:sz w:val="20"/>
                <w:lang w:eastAsia="uk-UA"/>
              </w:rPr>
            </w:pPr>
            <w:r w:rsidRPr="00CE67BA">
              <w:rPr>
                <w:rFonts w:eastAsia="Times New Roman"/>
                <w:sz w:val="20"/>
                <w:lang w:eastAsia="uk-UA"/>
              </w:rPr>
              <w:t>Заборгованість з оплати праці</w:t>
            </w:r>
          </w:p>
        </w:tc>
        <w:tc>
          <w:tcPr>
            <w:tcW w:w="2410" w:type="dxa"/>
          </w:tcPr>
          <w:p w:rsidR="006B7A58" w:rsidRPr="00CE67BA" w:rsidRDefault="006B7A58" w:rsidP="006B7A58">
            <w:pPr>
              <w:widowControl/>
              <w:spacing w:line="240" w:lineRule="auto"/>
              <w:ind w:firstLine="0"/>
              <w:jc w:val="center"/>
              <w:rPr>
                <w:rFonts w:eastAsia="Times New Roman"/>
                <w:sz w:val="20"/>
                <w:lang w:eastAsia="uk-UA"/>
              </w:rPr>
            </w:pPr>
            <w:r w:rsidRPr="00CE67BA">
              <w:rPr>
                <w:rFonts w:eastAsia="Times New Roman"/>
                <w:sz w:val="20"/>
                <w:lang w:eastAsia="uk-UA"/>
              </w:rPr>
              <w:t>1</w:t>
            </w:r>
          </w:p>
        </w:tc>
      </w:tr>
      <w:tr w:rsidR="006B7A58" w:rsidRPr="00CE67BA" w:rsidTr="006B7A58">
        <w:tc>
          <w:tcPr>
            <w:tcW w:w="3085" w:type="dxa"/>
          </w:tcPr>
          <w:p w:rsidR="006B7A58" w:rsidRPr="00CE67BA" w:rsidRDefault="006B7A58" w:rsidP="006B7A58">
            <w:pPr>
              <w:widowControl/>
              <w:spacing w:line="240" w:lineRule="auto"/>
              <w:ind w:firstLine="0"/>
              <w:rPr>
                <w:rFonts w:eastAsia="Times New Roman"/>
                <w:sz w:val="20"/>
                <w:lang w:eastAsia="uk-UA"/>
              </w:rPr>
            </w:pPr>
            <w:r w:rsidRPr="00CE67BA">
              <w:rPr>
                <w:rFonts w:eastAsia="Times New Roman"/>
                <w:sz w:val="20"/>
                <w:lang w:eastAsia="uk-UA"/>
              </w:rPr>
              <w:t>Всього</w:t>
            </w:r>
          </w:p>
        </w:tc>
        <w:tc>
          <w:tcPr>
            <w:tcW w:w="2410" w:type="dxa"/>
          </w:tcPr>
          <w:p w:rsidR="006B7A58" w:rsidRPr="00CE67BA" w:rsidRDefault="006B7A58" w:rsidP="006B7A58">
            <w:pPr>
              <w:widowControl/>
              <w:spacing w:line="240" w:lineRule="auto"/>
              <w:ind w:firstLine="0"/>
              <w:jc w:val="center"/>
              <w:rPr>
                <w:rFonts w:eastAsia="Times New Roman"/>
                <w:sz w:val="20"/>
                <w:lang w:eastAsia="uk-UA"/>
              </w:rPr>
            </w:pPr>
            <w:r w:rsidRPr="00CE67BA">
              <w:rPr>
                <w:rFonts w:eastAsia="Times New Roman"/>
                <w:sz w:val="20"/>
                <w:lang w:eastAsia="uk-UA"/>
              </w:rPr>
              <w:t>5</w:t>
            </w:r>
          </w:p>
        </w:tc>
      </w:tr>
    </w:tbl>
    <w:p w:rsidR="006B7A58" w:rsidRPr="00CE67BA" w:rsidRDefault="006B7A58" w:rsidP="006B7A58">
      <w:pPr>
        <w:pStyle w:val="21"/>
        <w:keepNext/>
        <w:keepLines/>
        <w:shd w:val="clear" w:color="auto" w:fill="auto"/>
        <w:spacing w:after="124" w:line="200" w:lineRule="exact"/>
        <w:ind w:left="20" w:firstLine="688"/>
        <w:rPr>
          <w:rFonts w:ascii="Times New Roman" w:hAnsi="Times New Roman"/>
          <w:bCs w:val="0"/>
          <w:noProof w:val="0"/>
          <w:sz w:val="24"/>
          <w:szCs w:val="24"/>
          <w:lang w:val="uk-UA" w:eastAsia="uk-UA"/>
        </w:rPr>
      </w:pPr>
    </w:p>
    <w:p w:rsidR="00DB1FE1" w:rsidRPr="00CE67BA" w:rsidRDefault="006B7A58" w:rsidP="00E16D5A">
      <w:pPr>
        <w:pStyle w:val="21"/>
        <w:keepNext/>
        <w:keepLines/>
        <w:shd w:val="clear" w:color="auto" w:fill="auto"/>
        <w:tabs>
          <w:tab w:val="left" w:pos="8010"/>
        </w:tabs>
        <w:spacing w:after="58" w:line="200" w:lineRule="exact"/>
        <w:ind w:left="20" w:firstLine="688"/>
        <w:rPr>
          <w:rFonts w:ascii="Times New Roman" w:eastAsia="Times New Roman" w:hAnsi="Times New Roman"/>
          <w:bCs w:val="0"/>
          <w:noProof w:val="0"/>
          <w:sz w:val="24"/>
          <w:szCs w:val="24"/>
          <w:lang w:val="uk-UA" w:eastAsia="uk-UA"/>
        </w:rPr>
      </w:pPr>
      <w:r w:rsidRPr="00CE67BA">
        <w:rPr>
          <w:rFonts w:ascii="Times New Roman" w:eastAsia="Times New Roman" w:hAnsi="Times New Roman"/>
          <w:bCs w:val="0"/>
          <w:noProof w:val="0"/>
          <w:sz w:val="24"/>
          <w:szCs w:val="24"/>
          <w:lang w:val="uk-UA" w:eastAsia="uk-UA"/>
        </w:rPr>
        <w:t>12</w:t>
      </w:r>
      <w:r w:rsidR="00CF029D" w:rsidRPr="00CE67BA">
        <w:rPr>
          <w:rFonts w:ascii="Times New Roman" w:eastAsia="Times New Roman" w:hAnsi="Times New Roman"/>
          <w:bCs w:val="0"/>
          <w:noProof w:val="0"/>
          <w:sz w:val="24"/>
          <w:szCs w:val="24"/>
          <w:lang w:val="uk-UA" w:eastAsia="uk-UA"/>
        </w:rPr>
        <w:t xml:space="preserve">. </w:t>
      </w:r>
      <w:r w:rsidR="00DB1FE1" w:rsidRPr="00CE67BA">
        <w:rPr>
          <w:rFonts w:ascii="Times New Roman" w:eastAsia="Times New Roman" w:hAnsi="Times New Roman"/>
          <w:bCs w:val="0"/>
          <w:noProof w:val="0"/>
          <w:sz w:val="24"/>
          <w:szCs w:val="24"/>
          <w:lang w:val="uk-UA" w:eastAsia="uk-UA"/>
        </w:rPr>
        <w:t>Зменшення корисності не фінансових активів</w:t>
      </w:r>
      <w:r w:rsidR="00E16D5A" w:rsidRPr="00CE67BA">
        <w:rPr>
          <w:rFonts w:ascii="Times New Roman" w:eastAsia="Times New Roman" w:hAnsi="Times New Roman"/>
          <w:bCs w:val="0"/>
          <w:noProof w:val="0"/>
          <w:sz w:val="24"/>
          <w:szCs w:val="24"/>
          <w:lang w:val="uk-UA" w:eastAsia="uk-UA"/>
        </w:rPr>
        <w:tab/>
      </w:r>
    </w:p>
    <w:p w:rsidR="00DB1FE1" w:rsidRPr="00CE67BA" w:rsidRDefault="00DB1FE1" w:rsidP="00C12476">
      <w:pPr>
        <w:pStyle w:val="aa"/>
        <w:spacing w:after="60" w:line="283" w:lineRule="exact"/>
        <w:ind w:left="20" w:right="20"/>
        <w:rPr>
          <w:rFonts w:ascii="Times New Roman" w:hAnsi="Times New Roman"/>
          <w:b/>
          <w:lang w:eastAsia="uk-UA"/>
        </w:rPr>
      </w:pPr>
      <w:r w:rsidRPr="00CE67BA">
        <w:rPr>
          <w:rFonts w:ascii="Times New Roman" w:hAnsi="Times New Roman"/>
          <w:lang w:eastAsia="uk-UA"/>
        </w:rPr>
        <w:t xml:space="preserve">Станом на кожну звітну дату Товариство визначає ознаки можливого зменшення корисності активу. Якщо такі ознаки існують, або якщо необхідно виконати щорічне тестування активу на зменшення корисності, Товариство виконує оцінку вартості очікуваного відшкодування активу. Вартість очікуваного відшкодування активу </w:t>
      </w:r>
      <w:r w:rsidRPr="00CE67BA">
        <w:rPr>
          <w:rFonts w:ascii="Times New Roman" w:hAnsi="Times New Roman"/>
          <w:lang w:eastAsia="uk-UA"/>
        </w:rPr>
        <w:lastRenderedPageBreak/>
        <w:t>визначається як більша з наступних величин: справедлива вартість активу або одиниці, що генерує грошові потоки, за вирахуванням витрат на реалізацію, та вартості використання активу. Вартість очікуваного відшкодування активу визначається для окремого активу, крім випадків коли актив не генерує потоки грошових коштів, які, в основному, незалежні від потоків, що генеруються іншими активами або компаніями активів.</w:t>
      </w:r>
    </w:p>
    <w:p w:rsidR="00DB1FE1" w:rsidRPr="00CE67BA" w:rsidRDefault="006B7A58" w:rsidP="00DB1FE1">
      <w:pPr>
        <w:pStyle w:val="21"/>
        <w:keepNext/>
        <w:keepLines/>
        <w:shd w:val="clear" w:color="auto" w:fill="auto"/>
        <w:spacing w:after="68" w:line="200" w:lineRule="exact"/>
        <w:ind w:left="20" w:firstLine="688"/>
        <w:rPr>
          <w:rFonts w:ascii="Times New Roman" w:eastAsia="Times New Roman" w:hAnsi="Times New Roman"/>
          <w:bCs w:val="0"/>
          <w:noProof w:val="0"/>
          <w:sz w:val="24"/>
          <w:szCs w:val="24"/>
          <w:lang w:val="uk-UA" w:eastAsia="uk-UA"/>
        </w:rPr>
      </w:pPr>
      <w:bookmarkStart w:id="13" w:name="bookmark32"/>
      <w:r w:rsidRPr="00CE67BA">
        <w:rPr>
          <w:rFonts w:ascii="Times New Roman" w:eastAsia="Times New Roman" w:hAnsi="Times New Roman"/>
          <w:bCs w:val="0"/>
          <w:noProof w:val="0"/>
          <w:sz w:val="24"/>
          <w:szCs w:val="24"/>
          <w:lang w:val="uk-UA" w:eastAsia="uk-UA"/>
        </w:rPr>
        <w:t>12</w:t>
      </w:r>
      <w:r w:rsidR="00CE67BA" w:rsidRPr="00CE67BA">
        <w:rPr>
          <w:rFonts w:ascii="Times New Roman" w:eastAsia="Times New Roman" w:hAnsi="Times New Roman"/>
          <w:bCs w:val="0"/>
          <w:noProof w:val="0"/>
          <w:sz w:val="24"/>
          <w:szCs w:val="24"/>
          <w:lang w:val="en-US" w:eastAsia="uk-UA"/>
        </w:rPr>
        <w:t>.</w:t>
      </w:r>
      <w:r w:rsidRPr="00CE67BA">
        <w:rPr>
          <w:rFonts w:ascii="Times New Roman" w:eastAsia="Times New Roman" w:hAnsi="Times New Roman"/>
          <w:bCs w:val="0"/>
          <w:noProof w:val="0"/>
          <w:sz w:val="24"/>
          <w:szCs w:val="24"/>
          <w:lang w:val="uk-UA" w:eastAsia="uk-UA"/>
        </w:rPr>
        <w:t>1</w:t>
      </w:r>
      <w:r w:rsidR="00CF029D" w:rsidRPr="00CE67BA">
        <w:rPr>
          <w:rFonts w:ascii="Times New Roman" w:eastAsia="Times New Roman" w:hAnsi="Times New Roman"/>
          <w:bCs w:val="0"/>
          <w:noProof w:val="0"/>
          <w:sz w:val="24"/>
          <w:szCs w:val="24"/>
          <w:lang w:val="uk-UA" w:eastAsia="uk-UA"/>
        </w:rPr>
        <w:t xml:space="preserve">. </w:t>
      </w:r>
      <w:r w:rsidR="00DB1FE1" w:rsidRPr="00CE67BA">
        <w:rPr>
          <w:rFonts w:ascii="Times New Roman" w:eastAsia="Times New Roman" w:hAnsi="Times New Roman"/>
          <w:bCs w:val="0"/>
          <w:noProof w:val="0"/>
          <w:sz w:val="24"/>
          <w:szCs w:val="24"/>
          <w:lang w:val="uk-UA" w:eastAsia="uk-UA"/>
        </w:rPr>
        <w:t>Передплати видані</w:t>
      </w:r>
      <w:bookmarkEnd w:id="13"/>
    </w:p>
    <w:p w:rsidR="009667FE" w:rsidRPr="00CE67BA" w:rsidRDefault="00DB1FE1" w:rsidP="00C12476">
      <w:pPr>
        <w:pStyle w:val="aa"/>
        <w:spacing w:after="127" w:line="283" w:lineRule="exact"/>
        <w:ind w:left="20" w:right="20"/>
        <w:rPr>
          <w:lang w:eastAsia="uk-UA"/>
        </w:rPr>
      </w:pPr>
      <w:r w:rsidRPr="00CE67BA">
        <w:rPr>
          <w:rFonts w:ascii="Times New Roman" w:hAnsi="Times New Roman"/>
          <w:lang w:eastAsia="uk-UA"/>
        </w:rPr>
        <w:t>Передплати постачальникам відображаються за вартістю, зазначеною у рахунках (разом з ПДВ), за вирахуванням резерву зменшення корисності цих інструментів. Резерв зменшення корисності нараховується у випадку, коли існують об'єктивні свідчення того, що Товариство не отримає активів чи послуг в повному обсязі згідно з умовами виданих передплат. Сума резерву розраховується як різниця між балансовою вартістю та вартістю, що може бути відшкодована. Збитки від зменшення корисності визнаються в звіті про сукупні прибутки та збитки в складі інших операційних витрат.</w:t>
      </w:r>
    </w:p>
    <w:p w:rsidR="00AC256C" w:rsidRPr="00CE67BA" w:rsidRDefault="006B7A58" w:rsidP="00B70F16">
      <w:pPr>
        <w:widowControl/>
        <w:autoSpaceDE w:val="0"/>
        <w:autoSpaceDN w:val="0"/>
        <w:adjustRightInd w:val="0"/>
        <w:spacing w:line="240" w:lineRule="auto"/>
        <w:ind w:firstLine="709"/>
        <w:rPr>
          <w:rFonts w:eastAsia="Times New Roman"/>
          <w:b/>
          <w:sz w:val="24"/>
          <w:szCs w:val="24"/>
          <w:lang w:eastAsia="uk-UA"/>
        </w:rPr>
      </w:pPr>
      <w:r w:rsidRPr="00CE67BA">
        <w:rPr>
          <w:rFonts w:eastAsia="Times New Roman"/>
          <w:b/>
          <w:sz w:val="24"/>
          <w:szCs w:val="24"/>
          <w:lang w:eastAsia="uk-UA"/>
        </w:rPr>
        <w:t>12.2</w:t>
      </w:r>
      <w:r w:rsidR="00CF029D" w:rsidRPr="00CE67BA">
        <w:rPr>
          <w:rFonts w:eastAsia="Times New Roman"/>
          <w:b/>
          <w:sz w:val="24"/>
          <w:szCs w:val="24"/>
          <w:lang w:eastAsia="uk-UA"/>
        </w:rPr>
        <w:t xml:space="preserve">. </w:t>
      </w:r>
      <w:r w:rsidR="00AC256C" w:rsidRPr="00CE67BA">
        <w:rPr>
          <w:rFonts w:eastAsia="Times New Roman"/>
          <w:b/>
          <w:sz w:val="24"/>
          <w:szCs w:val="24"/>
          <w:lang w:eastAsia="uk-UA"/>
        </w:rPr>
        <w:t>Фінансові інструменти</w:t>
      </w:r>
    </w:p>
    <w:p w:rsidR="00AC256C" w:rsidRPr="00CE67BA" w:rsidRDefault="00AC256C" w:rsidP="00CF029D">
      <w:pPr>
        <w:widowControl/>
        <w:autoSpaceDE w:val="0"/>
        <w:autoSpaceDN w:val="0"/>
        <w:adjustRightInd w:val="0"/>
        <w:spacing w:line="240" w:lineRule="auto"/>
        <w:ind w:firstLine="708"/>
        <w:rPr>
          <w:rFonts w:eastAsia="Times New Roman"/>
          <w:b/>
          <w:sz w:val="24"/>
          <w:szCs w:val="24"/>
          <w:lang w:eastAsia="uk-UA"/>
        </w:rPr>
      </w:pPr>
      <w:r w:rsidRPr="00CE67BA">
        <w:rPr>
          <w:rFonts w:eastAsia="Times New Roman"/>
          <w:b/>
          <w:sz w:val="24"/>
          <w:szCs w:val="24"/>
          <w:lang w:eastAsia="uk-UA"/>
        </w:rPr>
        <w:t>Визнання та припинення визнання</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 xml:space="preserve">Товариство визнає фінансові активи та зобов’язання у своєму звіті про фінансовий стан тоді, коли стає стороною контрактних зобов’язань стосовно даного інструменту. Операції з придбання та реалізації фінансових активів та зобов’язань визнаються з використанням обліку за датою розрахунку. </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Товариство припиняє визнання фінансового активу тоді і тільки тоді, коли:</w:t>
      </w:r>
      <w:bookmarkStart w:id="14" w:name="n118"/>
      <w:bookmarkEnd w:id="14"/>
    </w:p>
    <w:p w:rsidR="00AC256C" w:rsidRPr="00CE67BA" w:rsidRDefault="00AC256C" w:rsidP="008C0C66">
      <w:pPr>
        <w:widowControl/>
        <w:numPr>
          <w:ilvl w:val="0"/>
          <w:numId w:val="16"/>
        </w:numPr>
        <w:autoSpaceDE w:val="0"/>
        <w:autoSpaceDN w:val="0"/>
        <w:adjustRightInd w:val="0"/>
        <w:spacing w:line="240" w:lineRule="auto"/>
        <w:rPr>
          <w:rFonts w:eastAsia="Times New Roman"/>
          <w:sz w:val="24"/>
          <w:szCs w:val="24"/>
          <w:lang w:eastAsia="uk-UA"/>
        </w:rPr>
      </w:pPr>
      <w:r w:rsidRPr="00CE67BA">
        <w:rPr>
          <w:rFonts w:eastAsia="Times New Roman"/>
          <w:sz w:val="24"/>
          <w:szCs w:val="24"/>
          <w:lang w:eastAsia="uk-UA"/>
        </w:rPr>
        <w:t>строк дії контрактних прав на грошові потоки від фінансового активу закінчується,</w:t>
      </w:r>
      <w:bookmarkStart w:id="15" w:name="n119"/>
      <w:bookmarkEnd w:id="15"/>
      <w:r w:rsidRPr="00CE67BA">
        <w:rPr>
          <w:rFonts w:eastAsia="Times New Roman"/>
          <w:sz w:val="24"/>
          <w:szCs w:val="24"/>
          <w:lang w:eastAsia="uk-UA"/>
        </w:rPr>
        <w:t xml:space="preserve"> або</w:t>
      </w:r>
    </w:p>
    <w:p w:rsidR="00AC256C" w:rsidRPr="00CE67BA" w:rsidRDefault="00AC256C" w:rsidP="008C0C66">
      <w:pPr>
        <w:widowControl/>
        <w:numPr>
          <w:ilvl w:val="0"/>
          <w:numId w:val="16"/>
        </w:numPr>
        <w:autoSpaceDE w:val="0"/>
        <w:autoSpaceDN w:val="0"/>
        <w:adjustRightInd w:val="0"/>
        <w:spacing w:line="240" w:lineRule="auto"/>
        <w:rPr>
          <w:rFonts w:eastAsia="Times New Roman"/>
          <w:sz w:val="24"/>
          <w:szCs w:val="24"/>
          <w:lang w:eastAsia="uk-UA"/>
        </w:rPr>
      </w:pPr>
      <w:bookmarkStart w:id="16" w:name="n120"/>
      <w:bookmarkEnd w:id="16"/>
      <w:r w:rsidRPr="00CE67BA">
        <w:rPr>
          <w:rFonts w:eastAsia="Times New Roman"/>
          <w:sz w:val="24"/>
          <w:szCs w:val="24"/>
          <w:lang w:eastAsia="uk-UA"/>
        </w:rPr>
        <w:t>фінансовий актив передається (передаються контрактні права на одержання грошових потоків від фінансового активу, або зберігаються контрактні права на одержання грошових потоків від фінансового активу, але не береться контрактне зобов'язання сплатити грошові потоки одному чи кільком одержувачам за угодою, яка відповідає умовам, наведеним у параграфі 19 та 20 МСФЗ 39.</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Припинення визнання фінансового зобов’язання: фінансове зобов'язання (або частину фінансового зобов'язання) виключається з звіту про фінансовий стан тоді коли, його погашають, тобто, коли заборгованість, визначену в контракті, погашено, анульовано або строк її дії закінчується.</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bookmarkStart w:id="17" w:name="n178"/>
      <w:bookmarkStart w:id="18" w:name="n179"/>
      <w:bookmarkEnd w:id="17"/>
      <w:bookmarkEnd w:id="18"/>
      <w:r w:rsidRPr="00CE67BA">
        <w:rPr>
          <w:rFonts w:eastAsia="Times New Roman"/>
          <w:sz w:val="24"/>
          <w:szCs w:val="24"/>
          <w:lang w:eastAsia="uk-UA"/>
        </w:rPr>
        <w:t xml:space="preserve">Різниця між балансовою вартістю фінансового зобов'язання (або частини фінансового зобов'язання), погашеного або переданого іншій стороні, та сплаченою компенсацією (включаючи будь-які передані </w:t>
      </w:r>
      <w:r w:rsidR="00C95E8A" w:rsidRPr="00CE67BA">
        <w:rPr>
          <w:rFonts w:eastAsia="Times New Roman"/>
          <w:sz w:val="24"/>
          <w:szCs w:val="24"/>
          <w:lang w:eastAsia="uk-UA"/>
        </w:rPr>
        <w:t>не грошові</w:t>
      </w:r>
      <w:r w:rsidRPr="00CE67BA">
        <w:rPr>
          <w:rFonts w:eastAsia="Times New Roman"/>
          <w:sz w:val="24"/>
          <w:szCs w:val="24"/>
          <w:lang w:eastAsia="uk-UA"/>
        </w:rPr>
        <w:t xml:space="preserve"> активи та прийняті зобов'язання) визнається у прибутку чи збитку.</w:t>
      </w:r>
    </w:p>
    <w:p w:rsidR="00AC256C" w:rsidRPr="00CE67BA" w:rsidRDefault="00AC256C" w:rsidP="00B70F16">
      <w:pPr>
        <w:widowControl/>
        <w:autoSpaceDE w:val="0"/>
        <w:autoSpaceDN w:val="0"/>
        <w:adjustRightInd w:val="0"/>
        <w:spacing w:line="240" w:lineRule="auto"/>
        <w:ind w:firstLine="709"/>
        <w:rPr>
          <w:rFonts w:eastAsia="Times New Roman"/>
          <w:b/>
          <w:sz w:val="24"/>
          <w:szCs w:val="24"/>
          <w:lang w:eastAsia="uk-UA"/>
        </w:rPr>
      </w:pPr>
      <w:r w:rsidRPr="00CE67BA">
        <w:rPr>
          <w:rFonts w:eastAsia="Times New Roman"/>
          <w:b/>
          <w:sz w:val="24"/>
          <w:szCs w:val="24"/>
          <w:lang w:eastAsia="uk-UA"/>
        </w:rPr>
        <w:t>Оцінка</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Фінансові активи та зобов’язання первісно визнаються за справедливою вартістю. Витрати  на здійснення операції, які безпосередньо стосуються придбання або випуску фінансових активів та фінансових зобов’язань (крім фінансових активів та фінансових зобов’язань за справедливою вартістю, із відображенням переоцінки через прибуток або збиток), додаються до або вираховуються зі справедливої вартості фінансових активів або фінансових зобов’язань, у момент первісного визнання. Витрати на здійснення операції, які безпосередньо стосуються придбання фінансових активів або фінансових зобов’язань за справедливою вартістю, із відображенням переоцінки через прибуток або збиток, визнаються негайно у складі прибутку або збитку.</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Справедлива вартість фінансового інструмента під час первісного визнання, як правило, представляє собою ціну операції (тобто справедливу вартість наданої або отриманої компенсації).</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Фінансові інструменти поділяються на три класи: фінансові активи, фінансові зобов’язання, інструменти власного капіталу.</w:t>
      </w:r>
    </w:p>
    <w:p w:rsidR="00AC256C" w:rsidRPr="00CE67BA" w:rsidRDefault="00AC256C" w:rsidP="00627522">
      <w:pPr>
        <w:widowControl/>
        <w:autoSpaceDE w:val="0"/>
        <w:autoSpaceDN w:val="0"/>
        <w:adjustRightInd w:val="0"/>
        <w:spacing w:line="240" w:lineRule="auto"/>
        <w:ind w:firstLine="709"/>
        <w:rPr>
          <w:rFonts w:eastAsia="Times New Roman"/>
          <w:b/>
          <w:sz w:val="24"/>
          <w:szCs w:val="24"/>
          <w:lang w:eastAsia="uk-UA"/>
        </w:rPr>
      </w:pPr>
      <w:r w:rsidRPr="00CE67BA">
        <w:rPr>
          <w:rFonts w:eastAsia="Times New Roman"/>
          <w:b/>
          <w:sz w:val="24"/>
          <w:szCs w:val="24"/>
          <w:lang w:eastAsia="uk-UA"/>
        </w:rPr>
        <w:t>Фінансові активи</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lastRenderedPageBreak/>
        <w:t>До фінансових активів належать: грошові кошти, пайові інструменти інших компаній, що утримуються на балансі Товариства, договори, що дають право на отримання грошових коштів чи інших фінансових активів від іншої компанії або на обмін фінансових активів чи фінансових зобов’язань з іншою компанією на потенційно вигідних для Товариства умовах;</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Згідно з положеннями Міжнародного стандарту бухгалтерського обліку (МСБО) 39 «Фінансові інструменти – визнання та оцінка», фінансові активи класифікуються за чотирма категоріями:</w:t>
      </w:r>
    </w:p>
    <w:p w:rsidR="00AC256C" w:rsidRPr="00CE67BA" w:rsidRDefault="00AC256C" w:rsidP="008C0C66">
      <w:pPr>
        <w:widowControl/>
        <w:numPr>
          <w:ilvl w:val="0"/>
          <w:numId w:val="17"/>
        </w:numPr>
        <w:autoSpaceDE w:val="0"/>
        <w:autoSpaceDN w:val="0"/>
        <w:adjustRightInd w:val="0"/>
        <w:spacing w:line="240" w:lineRule="auto"/>
        <w:rPr>
          <w:rFonts w:eastAsia="Times New Roman"/>
          <w:sz w:val="24"/>
          <w:szCs w:val="24"/>
          <w:lang w:eastAsia="uk-UA"/>
        </w:rPr>
      </w:pPr>
      <w:r w:rsidRPr="00CE67BA">
        <w:rPr>
          <w:rFonts w:eastAsia="Times New Roman"/>
          <w:sz w:val="24"/>
          <w:szCs w:val="24"/>
          <w:lang w:eastAsia="uk-UA"/>
        </w:rPr>
        <w:t xml:space="preserve">фінансові активи, які оцінюються за справедливою вартістю через прибутки або збитки; </w:t>
      </w:r>
    </w:p>
    <w:p w:rsidR="00AC256C" w:rsidRPr="00CE67BA" w:rsidRDefault="00AC256C" w:rsidP="008C0C66">
      <w:pPr>
        <w:widowControl/>
        <w:numPr>
          <w:ilvl w:val="0"/>
          <w:numId w:val="17"/>
        </w:numPr>
        <w:autoSpaceDE w:val="0"/>
        <w:autoSpaceDN w:val="0"/>
        <w:adjustRightInd w:val="0"/>
        <w:spacing w:line="240" w:lineRule="auto"/>
        <w:rPr>
          <w:rFonts w:eastAsia="Times New Roman"/>
          <w:sz w:val="24"/>
          <w:szCs w:val="24"/>
          <w:lang w:eastAsia="uk-UA"/>
        </w:rPr>
      </w:pPr>
      <w:r w:rsidRPr="00CE67BA">
        <w:rPr>
          <w:rFonts w:eastAsia="Times New Roman"/>
          <w:sz w:val="24"/>
          <w:szCs w:val="24"/>
          <w:lang w:eastAsia="uk-UA"/>
        </w:rPr>
        <w:t>інвестиції утримувані до погашення;</w:t>
      </w:r>
    </w:p>
    <w:p w:rsidR="00AC256C" w:rsidRPr="00CE67BA" w:rsidRDefault="00AC256C" w:rsidP="008C0C66">
      <w:pPr>
        <w:widowControl/>
        <w:numPr>
          <w:ilvl w:val="0"/>
          <w:numId w:val="17"/>
        </w:numPr>
        <w:autoSpaceDE w:val="0"/>
        <w:autoSpaceDN w:val="0"/>
        <w:adjustRightInd w:val="0"/>
        <w:spacing w:line="240" w:lineRule="auto"/>
        <w:rPr>
          <w:rFonts w:eastAsia="Times New Roman"/>
          <w:sz w:val="24"/>
          <w:szCs w:val="24"/>
          <w:lang w:eastAsia="uk-UA"/>
        </w:rPr>
      </w:pPr>
      <w:r w:rsidRPr="00CE67BA">
        <w:rPr>
          <w:rFonts w:eastAsia="Times New Roman"/>
          <w:sz w:val="24"/>
          <w:szCs w:val="24"/>
          <w:lang w:eastAsia="uk-UA"/>
        </w:rPr>
        <w:t>позики та дебіторська заборгованість;</w:t>
      </w:r>
    </w:p>
    <w:p w:rsidR="00AC256C" w:rsidRPr="00CE67BA" w:rsidRDefault="00AC256C" w:rsidP="008C0C66">
      <w:pPr>
        <w:widowControl/>
        <w:numPr>
          <w:ilvl w:val="0"/>
          <w:numId w:val="17"/>
        </w:numPr>
        <w:autoSpaceDE w:val="0"/>
        <w:autoSpaceDN w:val="0"/>
        <w:adjustRightInd w:val="0"/>
        <w:spacing w:line="240" w:lineRule="auto"/>
        <w:rPr>
          <w:rFonts w:eastAsia="Times New Roman"/>
          <w:sz w:val="24"/>
          <w:szCs w:val="24"/>
          <w:lang w:eastAsia="uk-UA"/>
        </w:rPr>
      </w:pPr>
      <w:r w:rsidRPr="00CE67BA">
        <w:rPr>
          <w:rFonts w:eastAsia="Times New Roman"/>
          <w:sz w:val="24"/>
          <w:szCs w:val="24"/>
          <w:lang w:eastAsia="uk-UA"/>
        </w:rPr>
        <w:t>фінансові активи, доступні (наявні) для продажу.</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Подальша оцінка фінансових активів проводиться на кожну звітну дату.</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Дебіторська заборгованість  із фіксованими або які можна визначити платежами, для яких не існує активного ринку, класифікуються як дебіторська заборгованість та позики. Під час первісного визнання Товариством дебіторську заборгованість слід оцінювати  за їхньою справедливою вартістю (за ціною операції) плюс витрати на операцію, які прямо відносяться до фінансового активу. В подальшому дебіторська заборгованість оцінюється за амортизованою вартістю із використанням методу ефективної процентної ставки, за вирахуванням будь-якого знецінення.</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Резерви під знецінення дебіторської заборгованості  створюються за наявності об’єктивних ознак знецінення на рахунку 389 «Резерв сумнівних боргів по іншій дебіторській заборгованості», тобто якщо події, наслідком яких може бути знецінення таких фінансових активів, уже мали місце.</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 xml:space="preserve">Якщо є об'єктивне свідчення того, що відбувся збиток від зменшення корисності позик та дебіторської заборгованості, облікованих за амортизованою собівартістю, в тому числі дебіторська заборгованість перейшла з поточної в </w:t>
      </w:r>
      <w:proofErr w:type="spellStart"/>
      <w:r w:rsidRPr="00CE67BA">
        <w:rPr>
          <w:rFonts w:eastAsia="Times New Roman"/>
          <w:sz w:val="24"/>
          <w:szCs w:val="24"/>
          <w:lang w:eastAsia="uk-UA"/>
        </w:rPr>
        <w:t>непоточну</w:t>
      </w:r>
      <w:proofErr w:type="spellEnd"/>
      <w:r w:rsidRPr="00CE67BA">
        <w:rPr>
          <w:rFonts w:eastAsia="Times New Roman"/>
          <w:sz w:val="24"/>
          <w:szCs w:val="24"/>
          <w:lang w:eastAsia="uk-UA"/>
        </w:rPr>
        <w:t xml:space="preserve"> (більше 1 року),  суму збитку оцінюють як різницю між балансовою вартістю активу та теперішньою вартістю попередньо оцінених майбутніх грошових потоків, </w:t>
      </w:r>
      <w:proofErr w:type="spellStart"/>
      <w:r w:rsidRPr="00CE67BA">
        <w:rPr>
          <w:rFonts w:eastAsia="Times New Roman"/>
          <w:sz w:val="24"/>
          <w:szCs w:val="24"/>
          <w:lang w:eastAsia="uk-UA"/>
        </w:rPr>
        <w:t>дисконтованих</w:t>
      </w:r>
      <w:proofErr w:type="spellEnd"/>
      <w:r w:rsidRPr="00CE67BA">
        <w:rPr>
          <w:rFonts w:eastAsia="Times New Roman"/>
          <w:sz w:val="24"/>
          <w:szCs w:val="24"/>
          <w:lang w:eastAsia="uk-UA"/>
        </w:rPr>
        <w:t xml:space="preserve"> за первісною ефективною ставкою відсотка фінансового активу (тобто ефективною ставкою відсотка, обчисленою при первісному визнанні). Балансову вартість активу слід зменшити прямо (п. 63 МСБО 39), якщо не було раніше підстав для створення резерву, або застосовуючи рахунок резервів. Суму збитку слід визнавати у прибутку чи збитку. До короткострокової дебіторської заборгованості (до одного року) дисконтування не застосовується – ефект від дисконтування визнається не істотним. </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 xml:space="preserve">Якщо надалі втрати від знецінення не підтверджуються,  то збиток раніше визнаний, слід </w:t>
      </w:r>
      <w:proofErr w:type="spellStart"/>
      <w:r w:rsidRPr="00CE67BA">
        <w:rPr>
          <w:rFonts w:eastAsia="Times New Roman"/>
          <w:sz w:val="24"/>
          <w:szCs w:val="24"/>
          <w:lang w:eastAsia="uk-UA"/>
        </w:rPr>
        <w:t>реверсувати</w:t>
      </w:r>
      <w:proofErr w:type="spellEnd"/>
      <w:r w:rsidRPr="00CE67BA">
        <w:rPr>
          <w:rFonts w:eastAsia="Times New Roman"/>
          <w:sz w:val="24"/>
          <w:szCs w:val="24"/>
          <w:lang w:eastAsia="uk-UA"/>
        </w:rPr>
        <w:t>. Первісна ставка дисконтування визначається як середня по банкам кредитна ставка за рік, в якому виникла дебіторська заборгованість (2010р. – 26%; 2011р -26%; 2012р. – 28%; 2013р.-28%).</w:t>
      </w:r>
    </w:p>
    <w:p w:rsidR="0074739D" w:rsidRPr="00CE67BA" w:rsidRDefault="00AC256C" w:rsidP="00627522">
      <w:pPr>
        <w:widowControl/>
        <w:autoSpaceDE w:val="0"/>
        <w:autoSpaceDN w:val="0"/>
        <w:adjustRightInd w:val="0"/>
        <w:spacing w:line="240" w:lineRule="auto"/>
        <w:ind w:firstLine="709"/>
        <w:rPr>
          <w:rFonts w:eastAsia="Times New Roman"/>
          <w:b/>
          <w:sz w:val="24"/>
          <w:szCs w:val="24"/>
          <w:lang w:eastAsia="uk-UA"/>
        </w:rPr>
      </w:pPr>
      <w:r w:rsidRPr="00CE67BA">
        <w:rPr>
          <w:rFonts w:eastAsia="Times New Roman"/>
          <w:b/>
          <w:sz w:val="24"/>
          <w:szCs w:val="24"/>
          <w:lang w:eastAsia="uk-UA"/>
        </w:rPr>
        <w:t>Припинення визнання фінансового активу</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 xml:space="preserve">Товариство припиняє визнавати фінансовий актив лише в тих випадках, коли припиняють свою дію контрактні права на потоки грошових коштів від цього активу; або ж коли він передає фінансовий актив і всі істотні ризики й вигоди, пов’язані з володінням цим активом, іншому підприємству. </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Товариство також припиняє визнання деяких активів, коли він списує залишки по активах, які вважаються безнадійними щодо погашення.</w:t>
      </w:r>
    </w:p>
    <w:p w:rsidR="0074739D" w:rsidRPr="00CE67BA" w:rsidRDefault="00AC256C" w:rsidP="00627522">
      <w:pPr>
        <w:widowControl/>
        <w:autoSpaceDE w:val="0"/>
        <w:autoSpaceDN w:val="0"/>
        <w:adjustRightInd w:val="0"/>
        <w:spacing w:line="240" w:lineRule="auto"/>
        <w:ind w:firstLine="709"/>
        <w:rPr>
          <w:rFonts w:eastAsia="Times New Roman"/>
          <w:b/>
          <w:sz w:val="24"/>
          <w:szCs w:val="24"/>
          <w:lang w:eastAsia="uk-UA"/>
        </w:rPr>
      </w:pPr>
      <w:r w:rsidRPr="00CE67BA">
        <w:rPr>
          <w:rFonts w:eastAsia="Times New Roman"/>
          <w:b/>
          <w:sz w:val="24"/>
          <w:szCs w:val="24"/>
          <w:lang w:eastAsia="uk-UA"/>
        </w:rPr>
        <w:t>Фінансові зобов’язання</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 xml:space="preserve">Фінансові зобов’язання класифікуються як фінансові зобов’язання за справедливою вартістю, із відображенням переоцінки через прибуток або збиток, або інші фінансові зобов’язання. </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 xml:space="preserve">Фінансові зобов’язання за справедливою вартістю, із відображенням переоцінки через прибуток або збиток, після первісного визнання відображаються за справедливою </w:t>
      </w:r>
      <w:r w:rsidRPr="00CE67BA">
        <w:rPr>
          <w:rFonts w:eastAsia="Times New Roman"/>
          <w:sz w:val="24"/>
          <w:szCs w:val="24"/>
          <w:lang w:eastAsia="uk-UA"/>
        </w:rPr>
        <w:lastRenderedPageBreak/>
        <w:t xml:space="preserve">вартістю, яка ґрунтується на ціні їх котирування на ринку на дату балансу. У разі відсутності ціни котирування справедлива вартість інструмента оцінюється з використанням методів </w:t>
      </w:r>
      <w:proofErr w:type="spellStart"/>
      <w:r w:rsidRPr="00CE67BA">
        <w:rPr>
          <w:rFonts w:eastAsia="Times New Roman"/>
          <w:sz w:val="24"/>
          <w:szCs w:val="24"/>
          <w:lang w:eastAsia="uk-UA"/>
        </w:rPr>
        <w:t>дисконтованих</w:t>
      </w:r>
      <w:proofErr w:type="spellEnd"/>
      <w:r w:rsidRPr="00CE67BA">
        <w:rPr>
          <w:rFonts w:eastAsia="Times New Roman"/>
          <w:sz w:val="24"/>
          <w:szCs w:val="24"/>
          <w:lang w:eastAsia="uk-UA"/>
        </w:rPr>
        <w:t xml:space="preserve"> грошових потоків. При цьому використовується ставка дисконту, яка дорівнює ринковій ставці на дату балансу по інструменту, що має подібні умови та характеристики. </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Інші фінансові зобов’язання у подальшому оцінюються за амортизованою вартістю із використанням методу ефективної процентної ставки, при чому процентні витрати визнаються на основі фактичної дохідності. Метод ефективної процентної ставки являє собою метод розрахунку амортизованої вартості фінансового зобов’язання і розподілу процентних витрат протягом відповідного періоду, враховуючи умови випуску таких фінансових зобов’язань и порядок погашення. Ефективна процентна ставка є ставкою, яка точно дисконтує очікувані майбутні платежі грошових коштів протягом очікуваного строку використання фінансового зобов’язання або, коли доцільно, коротшого періоду до чистої балансової вартості на момент первісного визнання. До інших фінансових зобов’язань відносити: позикові кошти – зобов’язання по випущеним облігаціям, кредити банків; кредиторська заборгованість за товари, роботи та послуги; кредиторська заборгованість по договорам з купівлі-продажу цінних паперів.</w:t>
      </w:r>
    </w:p>
    <w:p w:rsidR="00AC256C" w:rsidRPr="00CE67BA" w:rsidRDefault="00AC256C" w:rsidP="00627522">
      <w:pPr>
        <w:widowControl/>
        <w:autoSpaceDE w:val="0"/>
        <w:autoSpaceDN w:val="0"/>
        <w:adjustRightInd w:val="0"/>
        <w:spacing w:line="240" w:lineRule="auto"/>
        <w:ind w:firstLine="709"/>
        <w:rPr>
          <w:rFonts w:eastAsia="Times New Roman"/>
          <w:b/>
          <w:sz w:val="24"/>
          <w:szCs w:val="24"/>
          <w:lang w:eastAsia="uk-UA"/>
        </w:rPr>
      </w:pPr>
      <w:r w:rsidRPr="00CE67BA">
        <w:rPr>
          <w:rFonts w:eastAsia="Times New Roman"/>
          <w:b/>
          <w:sz w:val="24"/>
          <w:szCs w:val="24"/>
          <w:lang w:eastAsia="uk-UA"/>
        </w:rPr>
        <w:t xml:space="preserve">Припинення визнання фінансових зобов’язань </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 xml:space="preserve"> Товариство припиняє визнавати фінансові зобов’язання тоді і тільки тоді, коли зобов’язання Товариству виконані, анульовані або спливає строк їхньої дії. У випадку, коли існуюче фінансове зобов’язання заміняється на інше від того самого кредитора на суттєво інших умовах, або в умови існуючого зобов’язання вносяться істотні коригування, то така заміна або коригування вважаються припиненням визнання первісного зобов’язання та визнанням нового зобов’язання. А різниця між відповідною балансовою вартістю фінансового зобов’язання та компенсацією сплаченою та до виплати визнається у складі прибутку або збитку. </w:t>
      </w:r>
    </w:p>
    <w:p w:rsidR="00AC256C" w:rsidRPr="00CE67BA" w:rsidRDefault="00AC256C" w:rsidP="008C0C66">
      <w:pPr>
        <w:widowControl/>
        <w:autoSpaceDE w:val="0"/>
        <w:autoSpaceDN w:val="0"/>
        <w:adjustRightInd w:val="0"/>
        <w:spacing w:line="240" w:lineRule="auto"/>
        <w:ind w:firstLine="0"/>
        <w:rPr>
          <w:rFonts w:eastAsia="Times New Roman"/>
          <w:sz w:val="24"/>
          <w:szCs w:val="24"/>
          <w:lang w:eastAsia="uk-UA"/>
        </w:rPr>
      </w:pPr>
      <w:r w:rsidRPr="00CE67BA">
        <w:rPr>
          <w:rFonts w:eastAsia="Times New Roman"/>
          <w:sz w:val="24"/>
          <w:szCs w:val="24"/>
          <w:lang w:eastAsia="uk-UA"/>
        </w:rPr>
        <w:t xml:space="preserve">Для покриття ризиків неповернення основного боргу за кредитами, гарантіями, поруками, придбаними цінними паперами, іншими видами заборгованості, визнаними нестандартними, створюється резерв відповідно до вимог Розпорядження Державної комісії з регулювання ринків фінансових послуг України від 01 березня 2011 року N 111 «Про затвердження Методики формування та списання небанківськими фінансовими установами резерву для відшкодування можливих втрат за всіма видами кредитних операцій (за винятком позабалансових, крім гарантій), придбаними цінними паперами (у тому числі іпотечними сертифікатами з фіксованою дохідністю), іншими активними операціями згідно із законодавством, включаючи нараховані за всіма цими операціями проценти та комісії, та визнання розпорядження </w:t>
      </w:r>
      <w:proofErr w:type="spellStart"/>
      <w:r w:rsidRPr="00CE67BA">
        <w:rPr>
          <w:rFonts w:eastAsia="Times New Roman"/>
          <w:sz w:val="24"/>
          <w:szCs w:val="24"/>
          <w:lang w:eastAsia="uk-UA"/>
        </w:rPr>
        <w:t>Держфінпослуг</w:t>
      </w:r>
      <w:proofErr w:type="spellEnd"/>
      <w:r w:rsidRPr="00CE67BA">
        <w:rPr>
          <w:rFonts w:eastAsia="Times New Roman"/>
          <w:sz w:val="24"/>
          <w:szCs w:val="24"/>
          <w:lang w:eastAsia="uk-UA"/>
        </w:rPr>
        <w:t xml:space="preserve"> від 04.06.2004 N 912 таким, що втратило чинність»</w:t>
      </w:r>
    </w:p>
    <w:p w:rsidR="00AC256C" w:rsidRPr="00CE67BA" w:rsidRDefault="00AC256C" w:rsidP="008C0C66">
      <w:pPr>
        <w:widowControl/>
        <w:spacing w:line="240" w:lineRule="auto"/>
        <w:ind w:firstLine="0"/>
        <w:rPr>
          <w:rFonts w:eastAsia="Times New Roman"/>
          <w:sz w:val="24"/>
          <w:szCs w:val="24"/>
          <w:lang w:eastAsia="uk-UA"/>
        </w:rPr>
      </w:pPr>
      <w:r w:rsidRPr="00CE67BA">
        <w:rPr>
          <w:rFonts w:eastAsia="Times New Roman"/>
          <w:sz w:val="24"/>
          <w:szCs w:val="24"/>
          <w:lang w:eastAsia="uk-UA"/>
        </w:rPr>
        <w:t xml:space="preserve">Страховий резерв формується по конкретній заборгованості або по портфелю однорідних заборгованостей, однорідність яких визначається характеристиками кредитного ризику, що обумовлюється діяльністю конкретного клієнта (боржника) або групи клієнтів (боржників), заборгованість яких включена до портфелю однорідних заборгованостей. </w:t>
      </w:r>
    </w:p>
    <w:p w:rsidR="00AC256C" w:rsidRPr="00CE67BA" w:rsidRDefault="00AC256C" w:rsidP="008C0C66">
      <w:pPr>
        <w:widowControl/>
        <w:spacing w:line="240" w:lineRule="auto"/>
        <w:ind w:firstLine="0"/>
        <w:rPr>
          <w:rFonts w:eastAsia="Times New Roman"/>
          <w:sz w:val="24"/>
          <w:szCs w:val="24"/>
          <w:lang w:eastAsia="uk-UA"/>
        </w:rPr>
      </w:pPr>
      <w:r w:rsidRPr="00CE67BA">
        <w:rPr>
          <w:rFonts w:eastAsia="Times New Roman"/>
          <w:sz w:val="24"/>
          <w:szCs w:val="24"/>
          <w:lang w:eastAsia="uk-UA"/>
        </w:rPr>
        <w:t xml:space="preserve">Страховий резерв формується за рахунок частини доходу незалежно від фінансового результату Товариства таким чином, щоб наприкінці кожного місяця його розмір відповідав сумі необхідного резервування. </w:t>
      </w:r>
    </w:p>
    <w:p w:rsidR="00AC256C" w:rsidRPr="00CE67BA" w:rsidRDefault="00AC256C" w:rsidP="008C0C66">
      <w:pPr>
        <w:widowControl/>
        <w:spacing w:line="240" w:lineRule="auto"/>
        <w:ind w:firstLine="0"/>
        <w:rPr>
          <w:rFonts w:eastAsia="Times New Roman"/>
          <w:sz w:val="24"/>
          <w:szCs w:val="24"/>
          <w:lang w:eastAsia="uk-UA"/>
        </w:rPr>
      </w:pPr>
      <w:r w:rsidRPr="00CE67BA">
        <w:rPr>
          <w:rFonts w:eastAsia="Times New Roman"/>
          <w:sz w:val="24"/>
          <w:szCs w:val="24"/>
          <w:lang w:eastAsia="uk-UA"/>
        </w:rPr>
        <w:t>Розмір страхового резерву, що створюється за рахунок збільшення витрат Товариства, не може перевищувати розміру, що встановлюється відповідним законом про ломбарди, але не більше 10 відсотків суми боргових вимог, а саме: сукупних зобов'язань дебіторів ломбарду на останній робочий день звітного податкового періоду. До суми зазначеної заборгованості не включаються зобов'язання дебіторів, які виникають під час здійснення операцій, що не включаються до основної діяльності Товариства.</w:t>
      </w:r>
    </w:p>
    <w:p w:rsidR="00CF029D" w:rsidRPr="00CE67BA" w:rsidRDefault="00CF029D" w:rsidP="003720C2">
      <w:pPr>
        <w:widowControl/>
        <w:spacing w:line="240" w:lineRule="auto"/>
        <w:ind w:firstLine="709"/>
        <w:rPr>
          <w:rFonts w:eastAsia="Times New Roman"/>
          <w:b/>
          <w:sz w:val="24"/>
          <w:szCs w:val="24"/>
          <w:lang w:eastAsia="uk-UA"/>
        </w:rPr>
      </w:pPr>
    </w:p>
    <w:p w:rsidR="00AC256C" w:rsidRPr="00CE67BA" w:rsidRDefault="006B7A58" w:rsidP="00CF029D">
      <w:pPr>
        <w:pStyle w:val="a3"/>
        <w:autoSpaceDE w:val="0"/>
        <w:autoSpaceDN w:val="0"/>
        <w:adjustRightInd w:val="0"/>
        <w:spacing w:line="240" w:lineRule="auto"/>
        <w:ind w:left="1068"/>
        <w:rPr>
          <w:rFonts w:ascii="Times New Roman" w:eastAsia="Times New Roman" w:hAnsi="Times New Roman"/>
          <w:b/>
          <w:sz w:val="24"/>
          <w:szCs w:val="24"/>
          <w:lang w:eastAsia="uk-UA"/>
        </w:rPr>
      </w:pPr>
      <w:r w:rsidRPr="00CE67BA">
        <w:rPr>
          <w:rFonts w:ascii="Times New Roman" w:eastAsia="Times New Roman" w:hAnsi="Times New Roman"/>
          <w:b/>
          <w:sz w:val="24"/>
          <w:szCs w:val="24"/>
          <w:lang w:eastAsia="uk-UA"/>
        </w:rPr>
        <w:t>12.3</w:t>
      </w:r>
      <w:r w:rsidR="00CF029D" w:rsidRPr="00CE67BA">
        <w:rPr>
          <w:rFonts w:ascii="Times New Roman" w:eastAsia="Times New Roman" w:hAnsi="Times New Roman"/>
          <w:b/>
          <w:sz w:val="24"/>
          <w:szCs w:val="24"/>
          <w:lang w:eastAsia="uk-UA"/>
        </w:rPr>
        <w:t xml:space="preserve">. </w:t>
      </w:r>
      <w:r w:rsidR="00AC256C" w:rsidRPr="00CE67BA">
        <w:rPr>
          <w:rFonts w:ascii="Times New Roman" w:eastAsia="Times New Roman" w:hAnsi="Times New Roman"/>
          <w:b/>
          <w:sz w:val="24"/>
          <w:szCs w:val="24"/>
          <w:lang w:eastAsia="uk-UA"/>
        </w:rPr>
        <w:t>Порядок оцінки кредитної операції, в тому числі критерії оцінки, порядок документального оформлення та підтвердження оцінки</w:t>
      </w:r>
    </w:p>
    <w:p w:rsidR="00AC256C"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lastRenderedPageBreak/>
        <w:t>Оцінка кредитної операції здійснюється по кожному виданому фінансовому кредиту на постійній основі.</w:t>
      </w:r>
    </w:p>
    <w:p w:rsidR="00AC256C"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t>Оцінка кредитної операції здійснюється за такими критеріями:</w:t>
      </w:r>
    </w:p>
    <w:p w:rsidR="00AC256C" w:rsidRPr="00CE67BA" w:rsidRDefault="00AC256C" w:rsidP="003B5441">
      <w:pPr>
        <w:widowControl/>
        <w:numPr>
          <w:ilvl w:val="0"/>
          <w:numId w:val="19"/>
        </w:numPr>
        <w:spacing w:line="240" w:lineRule="auto"/>
        <w:rPr>
          <w:rFonts w:eastAsia="Times New Roman"/>
          <w:sz w:val="24"/>
          <w:szCs w:val="24"/>
          <w:lang w:eastAsia="uk-UA"/>
        </w:rPr>
      </w:pPr>
      <w:r w:rsidRPr="00CE67BA">
        <w:rPr>
          <w:rFonts w:eastAsia="Times New Roman"/>
          <w:sz w:val="24"/>
          <w:szCs w:val="24"/>
          <w:lang w:eastAsia="uk-UA"/>
        </w:rPr>
        <w:t>оцінка фінансового стану клієнта (боржника);</w:t>
      </w:r>
    </w:p>
    <w:p w:rsidR="00AC256C" w:rsidRPr="00CE67BA" w:rsidRDefault="00AC256C" w:rsidP="003B5441">
      <w:pPr>
        <w:widowControl/>
        <w:numPr>
          <w:ilvl w:val="0"/>
          <w:numId w:val="19"/>
        </w:numPr>
        <w:spacing w:line="240" w:lineRule="auto"/>
        <w:rPr>
          <w:rFonts w:eastAsia="Times New Roman"/>
          <w:sz w:val="24"/>
          <w:szCs w:val="24"/>
          <w:lang w:eastAsia="uk-UA"/>
        </w:rPr>
      </w:pPr>
      <w:r w:rsidRPr="00CE67BA">
        <w:rPr>
          <w:rFonts w:eastAsia="Times New Roman"/>
          <w:sz w:val="24"/>
          <w:szCs w:val="24"/>
          <w:lang w:eastAsia="uk-UA"/>
        </w:rPr>
        <w:t xml:space="preserve">стан обслуговування клієнтом (боржником) кредитної заборгованості за основним боргом і процентів за ним у розрізі кожної окремої заборгованості та спроможність клієнта (боржника) надалі обслуговувати цей борг; </w:t>
      </w:r>
    </w:p>
    <w:p w:rsidR="00AC256C" w:rsidRPr="00CE67BA" w:rsidRDefault="00AC256C" w:rsidP="003B5441">
      <w:pPr>
        <w:widowControl/>
        <w:numPr>
          <w:ilvl w:val="0"/>
          <w:numId w:val="19"/>
        </w:numPr>
        <w:spacing w:line="240" w:lineRule="auto"/>
        <w:rPr>
          <w:rFonts w:eastAsia="Times New Roman"/>
          <w:sz w:val="24"/>
          <w:szCs w:val="24"/>
          <w:lang w:eastAsia="uk-UA"/>
        </w:rPr>
      </w:pPr>
      <w:r w:rsidRPr="00CE67BA">
        <w:rPr>
          <w:rFonts w:eastAsia="Times New Roman"/>
          <w:sz w:val="24"/>
          <w:szCs w:val="24"/>
          <w:lang w:eastAsia="uk-UA"/>
        </w:rPr>
        <w:t>рівень забезпечення кредитної операції.</w:t>
      </w:r>
    </w:p>
    <w:p w:rsidR="00AC256C"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t>Документальним оформленням кредитної операції та підтвердженням оцінки є:</w:t>
      </w:r>
    </w:p>
    <w:p w:rsidR="00AC256C" w:rsidRPr="00CE67BA" w:rsidRDefault="00AC256C" w:rsidP="003B5441">
      <w:pPr>
        <w:widowControl/>
        <w:numPr>
          <w:ilvl w:val="0"/>
          <w:numId w:val="20"/>
        </w:numPr>
        <w:spacing w:line="240" w:lineRule="auto"/>
        <w:rPr>
          <w:rFonts w:eastAsia="Times New Roman"/>
          <w:sz w:val="24"/>
          <w:szCs w:val="24"/>
          <w:lang w:eastAsia="uk-UA"/>
        </w:rPr>
      </w:pPr>
      <w:r w:rsidRPr="00CE67BA">
        <w:rPr>
          <w:rFonts w:eastAsia="Times New Roman"/>
          <w:sz w:val="24"/>
          <w:szCs w:val="24"/>
          <w:lang w:eastAsia="uk-UA"/>
        </w:rPr>
        <w:t xml:space="preserve">договір фінансового кредиту та зміни до нього; </w:t>
      </w:r>
    </w:p>
    <w:p w:rsidR="00AC256C" w:rsidRPr="00CE67BA" w:rsidRDefault="00AC256C" w:rsidP="003B5441">
      <w:pPr>
        <w:widowControl/>
        <w:numPr>
          <w:ilvl w:val="0"/>
          <w:numId w:val="20"/>
        </w:numPr>
        <w:spacing w:line="240" w:lineRule="auto"/>
        <w:rPr>
          <w:rFonts w:eastAsia="Times New Roman"/>
          <w:sz w:val="24"/>
          <w:szCs w:val="24"/>
          <w:lang w:eastAsia="uk-UA"/>
        </w:rPr>
      </w:pPr>
      <w:r w:rsidRPr="00CE67BA">
        <w:rPr>
          <w:rFonts w:eastAsia="Times New Roman"/>
          <w:sz w:val="24"/>
          <w:szCs w:val="24"/>
          <w:lang w:eastAsia="uk-UA"/>
        </w:rPr>
        <w:t xml:space="preserve">договір про заставу (забезпечення за фінансовим кредитом) та зміни до нього; </w:t>
      </w:r>
    </w:p>
    <w:p w:rsidR="00AC256C" w:rsidRPr="00CE67BA" w:rsidRDefault="00AC256C" w:rsidP="003B5441">
      <w:pPr>
        <w:widowControl/>
        <w:numPr>
          <w:ilvl w:val="0"/>
          <w:numId w:val="20"/>
        </w:numPr>
        <w:spacing w:line="240" w:lineRule="auto"/>
        <w:rPr>
          <w:rFonts w:eastAsia="Times New Roman"/>
          <w:sz w:val="24"/>
          <w:szCs w:val="24"/>
          <w:lang w:eastAsia="uk-UA"/>
        </w:rPr>
      </w:pPr>
      <w:r w:rsidRPr="00CE67BA">
        <w:rPr>
          <w:rFonts w:eastAsia="Times New Roman"/>
          <w:sz w:val="24"/>
          <w:szCs w:val="24"/>
          <w:lang w:eastAsia="uk-UA"/>
        </w:rPr>
        <w:t>документи, що свідчать про видачу та погашення фінансового кредиту та процентів за ним;</w:t>
      </w:r>
    </w:p>
    <w:p w:rsidR="00AC256C" w:rsidRPr="00CE67BA" w:rsidRDefault="00AC256C" w:rsidP="003B5441">
      <w:pPr>
        <w:widowControl/>
        <w:numPr>
          <w:ilvl w:val="0"/>
          <w:numId w:val="20"/>
        </w:numPr>
        <w:spacing w:line="240" w:lineRule="auto"/>
        <w:rPr>
          <w:rFonts w:eastAsia="Times New Roman"/>
          <w:sz w:val="24"/>
          <w:szCs w:val="24"/>
          <w:lang w:eastAsia="uk-UA"/>
        </w:rPr>
      </w:pPr>
      <w:r w:rsidRPr="00CE67BA">
        <w:rPr>
          <w:rFonts w:eastAsia="Times New Roman"/>
          <w:sz w:val="24"/>
          <w:szCs w:val="24"/>
          <w:lang w:eastAsia="uk-UA"/>
        </w:rPr>
        <w:t>документи (інформація) про вжиті Товариством заходи для погашення заборгованості (документи або їх копії, що засвідчують процедуру повернення або стягнення боргу, звернення стягнення на предмет застави, погашення боргу за рахунок реалізації предмета застави).</w:t>
      </w:r>
    </w:p>
    <w:p w:rsidR="0074739D" w:rsidRPr="00CE67BA" w:rsidRDefault="00AC256C" w:rsidP="00CF029D">
      <w:pPr>
        <w:widowControl/>
        <w:spacing w:line="240" w:lineRule="auto"/>
        <w:ind w:firstLine="0"/>
        <w:rPr>
          <w:rFonts w:eastAsia="Times New Roman"/>
          <w:b/>
          <w:sz w:val="24"/>
          <w:szCs w:val="24"/>
          <w:lang w:eastAsia="uk-UA"/>
        </w:rPr>
      </w:pPr>
      <w:r w:rsidRPr="00CE67BA">
        <w:rPr>
          <w:rFonts w:eastAsia="Times New Roman"/>
          <w:b/>
          <w:sz w:val="24"/>
          <w:szCs w:val="24"/>
          <w:lang w:eastAsia="uk-UA"/>
        </w:rPr>
        <w:t>Процедури прийняття та виконання рішень по формуванню страхового резерву</w:t>
      </w:r>
    </w:p>
    <w:p w:rsidR="00AC256C"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t>Рішення про формування страхового резерву приймається керівником Товариства у випадку необхідності формування страхового резерву.</w:t>
      </w:r>
    </w:p>
    <w:p w:rsidR="00AC256C"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t>Необхідність формування страхового резерву встановлюється згідно даних бухгалтерського обліку.</w:t>
      </w:r>
    </w:p>
    <w:p w:rsidR="00AC256C" w:rsidRPr="00CE67BA" w:rsidRDefault="00AC256C" w:rsidP="00CF029D">
      <w:pPr>
        <w:widowControl/>
        <w:spacing w:line="240" w:lineRule="auto"/>
        <w:ind w:firstLine="0"/>
        <w:rPr>
          <w:rFonts w:eastAsia="Times New Roman"/>
          <w:b/>
          <w:sz w:val="24"/>
          <w:szCs w:val="24"/>
          <w:lang w:eastAsia="uk-UA"/>
        </w:rPr>
      </w:pPr>
      <w:r w:rsidRPr="00CE67BA">
        <w:rPr>
          <w:rFonts w:eastAsia="Times New Roman"/>
          <w:b/>
          <w:sz w:val="24"/>
          <w:szCs w:val="24"/>
          <w:lang w:eastAsia="uk-UA"/>
        </w:rPr>
        <w:t>Процедури прийняття та виконання рішень по списанню з балансу Товариства безнадійних боргів</w:t>
      </w:r>
    </w:p>
    <w:p w:rsidR="0074739D"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t>Безнадійна заборгованість (якщо вона виникла в Товариства) за кредитними операціями підлягає списанню за рахунок сформованих страхових резервів за умови її відповідності хоча б одній з ознак безнадійної заборгованості. Рішення про списання страхового резерву приймається керівником Товариства.</w:t>
      </w:r>
    </w:p>
    <w:p w:rsidR="00AC256C" w:rsidRPr="00CE67BA" w:rsidRDefault="00AC256C" w:rsidP="00CF029D">
      <w:pPr>
        <w:widowControl/>
        <w:spacing w:line="240" w:lineRule="auto"/>
        <w:ind w:firstLine="0"/>
        <w:rPr>
          <w:rFonts w:eastAsia="Times New Roman"/>
          <w:b/>
          <w:sz w:val="24"/>
          <w:szCs w:val="24"/>
          <w:lang w:eastAsia="uk-UA"/>
        </w:rPr>
      </w:pPr>
      <w:r w:rsidRPr="00CE67BA">
        <w:rPr>
          <w:rFonts w:eastAsia="Times New Roman"/>
          <w:b/>
          <w:sz w:val="24"/>
          <w:szCs w:val="24"/>
          <w:lang w:eastAsia="uk-UA"/>
        </w:rPr>
        <w:t>Описання методів, правил та процедур, що використовуються при оцінці фінансового стану клієнта (боржника), перелік основних джерел інформації, яка використовується для проведення оцінки, повноваження працівників небанківської фінансової установи, що беруть участь в проведенні вказаної процедури</w:t>
      </w:r>
    </w:p>
    <w:p w:rsidR="00AC256C"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t>Враховуючи те, що ломбардний кредит  завжди забезпечується  заставою – оцінка фінансового стану клієнта (боржника) та аналіз фінансового стану клієнта (боржника)  проводиться з урахуванням професійного судження керівника Товариства та/або осіб, зайнятих безпосередньо для здійснення ломбардних операцій.</w:t>
      </w:r>
    </w:p>
    <w:p w:rsidR="00AC256C"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t>Перелік показників, що використовуються для аналізу фінансового стану клієнта (боржника), та порядок їх обчислення визначаються Товариством з урахуванням всієї наявної інформації як на звітні, так і на проміжні дати.</w:t>
      </w:r>
    </w:p>
    <w:p w:rsidR="00AC256C" w:rsidRPr="00CE67BA" w:rsidRDefault="00AC256C" w:rsidP="00F94380">
      <w:pPr>
        <w:widowControl/>
        <w:spacing w:line="240" w:lineRule="auto"/>
        <w:ind w:firstLine="0"/>
        <w:rPr>
          <w:rFonts w:eastAsia="Times New Roman"/>
          <w:b/>
          <w:sz w:val="24"/>
          <w:szCs w:val="24"/>
          <w:lang w:eastAsia="uk-UA"/>
        </w:rPr>
      </w:pPr>
      <w:r w:rsidRPr="00CE67BA">
        <w:rPr>
          <w:rFonts w:eastAsia="Times New Roman"/>
          <w:b/>
          <w:sz w:val="24"/>
          <w:szCs w:val="24"/>
          <w:lang w:eastAsia="uk-UA"/>
        </w:rPr>
        <w:t>Порядок та періодичність визначення справедливої вартості застави</w:t>
      </w:r>
    </w:p>
    <w:p w:rsidR="00AC256C"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t>Справедлива вартість застави визначається на підставі внутрішніх документів Товариства (положень, наказів, тощо) з урахуванням кон’юнктури ринку та  з урахуванням вимог чинного законодавства, у тому числі положень Закону України «Про заставу» та норм Цивільного кодексу України.</w:t>
      </w:r>
    </w:p>
    <w:p w:rsidR="0074739D"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t xml:space="preserve">Періодичність визначення справедливої вартості застави визначається внутрішніми рішеннями Товариства,  в залежності від кон’юнктури ринку.  </w:t>
      </w:r>
    </w:p>
    <w:p w:rsidR="00AC256C" w:rsidRPr="00CE67BA" w:rsidRDefault="00AC256C" w:rsidP="00F94380">
      <w:pPr>
        <w:widowControl/>
        <w:spacing w:line="240" w:lineRule="auto"/>
        <w:ind w:firstLine="0"/>
        <w:rPr>
          <w:rFonts w:eastAsia="Times New Roman"/>
          <w:b/>
          <w:sz w:val="24"/>
          <w:szCs w:val="24"/>
          <w:lang w:eastAsia="uk-UA"/>
        </w:rPr>
      </w:pPr>
      <w:r w:rsidRPr="00CE67BA">
        <w:rPr>
          <w:rFonts w:eastAsia="Times New Roman"/>
          <w:b/>
          <w:sz w:val="24"/>
          <w:szCs w:val="24"/>
          <w:lang w:eastAsia="uk-UA"/>
        </w:rPr>
        <w:t>Порядок та періодичність формування (списання) страхового резерву</w:t>
      </w:r>
    </w:p>
    <w:p w:rsidR="00AC256C"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t>Страховий резерв формується у гривнях.</w:t>
      </w:r>
    </w:p>
    <w:p w:rsidR="00AC256C" w:rsidRPr="00CE67BA" w:rsidRDefault="00AC256C" w:rsidP="003B5441">
      <w:pPr>
        <w:widowControl/>
        <w:spacing w:line="240" w:lineRule="auto"/>
        <w:ind w:firstLine="0"/>
        <w:rPr>
          <w:rFonts w:eastAsia="Times New Roman"/>
          <w:sz w:val="24"/>
          <w:szCs w:val="24"/>
          <w:lang w:eastAsia="uk-UA"/>
        </w:rPr>
      </w:pPr>
      <w:r w:rsidRPr="00CE67BA">
        <w:rPr>
          <w:rFonts w:eastAsia="Times New Roman"/>
          <w:sz w:val="24"/>
          <w:szCs w:val="24"/>
          <w:lang w:eastAsia="uk-UA"/>
        </w:rPr>
        <w:t xml:space="preserve">Відомості щодо розрахунку формування страхового резерву відображаються в бухгалтерській довідці. </w:t>
      </w:r>
    </w:p>
    <w:p w:rsidR="0074739D" w:rsidRPr="00CE67BA" w:rsidRDefault="00AC256C" w:rsidP="006B7A58">
      <w:pPr>
        <w:widowControl/>
        <w:spacing w:line="240" w:lineRule="auto"/>
        <w:ind w:firstLine="0"/>
        <w:rPr>
          <w:rFonts w:eastAsia="Times New Roman"/>
          <w:b/>
          <w:sz w:val="24"/>
          <w:szCs w:val="24"/>
          <w:lang w:eastAsia="uk-UA"/>
        </w:rPr>
      </w:pPr>
      <w:r w:rsidRPr="00CE67BA">
        <w:rPr>
          <w:rFonts w:eastAsia="Times New Roman"/>
          <w:sz w:val="24"/>
          <w:szCs w:val="24"/>
          <w:lang w:eastAsia="uk-UA"/>
        </w:rPr>
        <w:t xml:space="preserve">Якщо розмір розрахункового страхового резерву по окремих елементах розрахункової бази, визначений відповідно до Методики, більший (менший) величини сформованого </w:t>
      </w:r>
      <w:r w:rsidRPr="00CE67BA">
        <w:rPr>
          <w:rFonts w:eastAsia="Times New Roman"/>
          <w:sz w:val="24"/>
          <w:szCs w:val="24"/>
          <w:lang w:eastAsia="uk-UA"/>
        </w:rPr>
        <w:lastRenderedPageBreak/>
        <w:t>страхового резерву, то проводиться відповідне донарахування (списання) страхового резерву.</w:t>
      </w:r>
    </w:p>
    <w:p w:rsidR="0074739D" w:rsidRPr="00CE67BA" w:rsidRDefault="0074739D" w:rsidP="00CF029D">
      <w:pPr>
        <w:widowControl/>
        <w:spacing w:line="240" w:lineRule="auto"/>
        <w:ind w:firstLine="708"/>
        <w:rPr>
          <w:rFonts w:eastAsia="Times New Roman"/>
          <w:b/>
          <w:sz w:val="24"/>
          <w:szCs w:val="24"/>
          <w:lang w:eastAsia="uk-UA"/>
        </w:rPr>
      </w:pPr>
    </w:p>
    <w:p w:rsidR="00E66764" w:rsidRPr="00CE67BA" w:rsidRDefault="006B7A58" w:rsidP="00CF029D">
      <w:pPr>
        <w:pStyle w:val="21"/>
        <w:keepNext/>
        <w:keepLines/>
        <w:shd w:val="clear" w:color="auto" w:fill="auto"/>
        <w:spacing w:after="124" w:line="200" w:lineRule="exact"/>
        <w:ind w:left="20" w:firstLine="688"/>
        <w:rPr>
          <w:rFonts w:ascii="Times New Roman" w:hAnsi="Times New Roman"/>
          <w:bCs w:val="0"/>
          <w:noProof w:val="0"/>
          <w:sz w:val="24"/>
          <w:szCs w:val="24"/>
          <w:lang w:val="uk-UA" w:eastAsia="uk-UA"/>
        </w:rPr>
      </w:pPr>
      <w:bookmarkStart w:id="19" w:name="bookmark12"/>
      <w:bookmarkStart w:id="20" w:name="OLE_LINK24"/>
      <w:bookmarkStart w:id="21" w:name="OLE_LINK25"/>
      <w:r w:rsidRPr="00CE67BA">
        <w:rPr>
          <w:rFonts w:ascii="Times New Roman" w:hAnsi="Times New Roman"/>
          <w:bCs w:val="0"/>
          <w:noProof w:val="0"/>
          <w:sz w:val="24"/>
          <w:szCs w:val="24"/>
          <w:lang w:val="uk-UA" w:eastAsia="uk-UA"/>
        </w:rPr>
        <w:t>12</w:t>
      </w:r>
      <w:r w:rsidR="00CF029D" w:rsidRPr="00CE67BA">
        <w:rPr>
          <w:rFonts w:ascii="Times New Roman" w:hAnsi="Times New Roman"/>
          <w:bCs w:val="0"/>
          <w:noProof w:val="0"/>
          <w:sz w:val="24"/>
          <w:szCs w:val="24"/>
          <w:lang w:val="uk-UA" w:eastAsia="uk-UA"/>
        </w:rPr>
        <w:t>.</w:t>
      </w:r>
      <w:r w:rsidRPr="00CE67BA">
        <w:rPr>
          <w:rFonts w:ascii="Times New Roman" w:hAnsi="Times New Roman"/>
          <w:bCs w:val="0"/>
          <w:noProof w:val="0"/>
          <w:sz w:val="24"/>
          <w:szCs w:val="24"/>
          <w:lang w:val="uk-UA" w:eastAsia="uk-UA"/>
        </w:rPr>
        <w:t>4.</w:t>
      </w:r>
      <w:r w:rsidR="00CF029D" w:rsidRPr="00CE67BA">
        <w:rPr>
          <w:rFonts w:ascii="Times New Roman" w:hAnsi="Times New Roman"/>
          <w:bCs w:val="0"/>
          <w:noProof w:val="0"/>
          <w:sz w:val="24"/>
          <w:szCs w:val="24"/>
          <w:lang w:val="uk-UA" w:eastAsia="uk-UA"/>
        </w:rPr>
        <w:t xml:space="preserve"> </w:t>
      </w:r>
      <w:r w:rsidR="00E66764" w:rsidRPr="00CE67BA">
        <w:rPr>
          <w:rFonts w:ascii="Times New Roman" w:hAnsi="Times New Roman"/>
          <w:bCs w:val="0"/>
          <w:noProof w:val="0"/>
          <w:sz w:val="24"/>
          <w:szCs w:val="24"/>
          <w:lang w:val="uk-UA" w:eastAsia="uk-UA"/>
        </w:rPr>
        <w:t>Податки</w:t>
      </w:r>
      <w:bookmarkEnd w:id="19"/>
    </w:p>
    <w:p w:rsidR="00E66764" w:rsidRPr="00CE67BA" w:rsidRDefault="00E66764" w:rsidP="00E66764">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bookmarkStart w:id="22" w:name="bookmark13"/>
      <w:r w:rsidRPr="00CE67BA">
        <w:rPr>
          <w:rFonts w:ascii="Times New Roman" w:hAnsi="Times New Roman"/>
          <w:bCs w:val="0"/>
          <w:noProof w:val="0"/>
          <w:sz w:val="24"/>
          <w:szCs w:val="24"/>
          <w:lang w:val="uk-UA" w:eastAsia="uk-UA"/>
        </w:rPr>
        <w:t>Податок на додану вартість</w:t>
      </w:r>
      <w:bookmarkEnd w:id="22"/>
    </w:p>
    <w:p w:rsidR="00E66764" w:rsidRPr="00CE67BA" w:rsidRDefault="00E66764" w:rsidP="00E66764">
      <w:pPr>
        <w:pStyle w:val="aa"/>
        <w:spacing w:after="60" w:line="283" w:lineRule="exact"/>
        <w:ind w:left="20" w:right="20"/>
        <w:rPr>
          <w:rFonts w:ascii="Times New Roman" w:hAnsi="Times New Roman"/>
          <w:lang w:eastAsia="uk-UA"/>
        </w:rPr>
      </w:pPr>
      <w:r w:rsidRPr="00CE67BA">
        <w:rPr>
          <w:rFonts w:ascii="Times New Roman" w:hAnsi="Times New Roman"/>
          <w:lang w:eastAsia="uk-UA"/>
        </w:rPr>
        <w:t>Доходи, витрати, активи визнаються за вирахуванням суми податку на додану вартість (ПДВ), крім таких випадків:</w:t>
      </w:r>
    </w:p>
    <w:p w:rsidR="00E66764" w:rsidRPr="00CE67BA" w:rsidRDefault="00E66764" w:rsidP="00E66764">
      <w:pPr>
        <w:pStyle w:val="aa"/>
        <w:numPr>
          <w:ilvl w:val="0"/>
          <w:numId w:val="9"/>
        </w:numPr>
        <w:spacing w:after="127" w:line="283" w:lineRule="exact"/>
        <w:ind w:right="20"/>
        <w:rPr>
          <w:rFonts w:ascii="Times New Roman" w:hAnsi="Times New Roman"/>
          <w:lang w:eastAsia="uk-UA"/>
        </w:rPr>
      </w:pPr>
      <w:r w:rsidRPr="00CE67BA">
        <w:rPr>
          <w:rFonts w:ascii="Times New Roman" w:hAnsi="Times New Roman"/>
          <w:lang w:eastAsia="uk-UA"/>
        </w:rPr>
        <w:t>ПДВ, що виникає при придбанні активів чи послуг, не відшкодовується податковим органом; в такому разі ПДВ визнається як частина витрат на придбання активу або частина витратної статті, залежно від обставин;</w:t>
      </w:r>
    </w:p>
    <w:p w:rsidR="00E66764" w:rsidRPr="00CE67BA" w:rsidRDefault="00E66764" w:rsidP="00E66764">
      <w:pPr>
        <w:pStyle w:val="aa"/>
        <w:numPr>
          <w:ilvl w:val="0"/>
          <w:numId w:val="9"/>
        </w:numPr>
        <w:spacing w:after="63" w:line="200" w:lineRule="exact"/>
        <w:rPr>
          <w:rFonts w:ascii="Times New Roman" w:hAnsi="Times New Roman"/>
        </w:rPr>
      </w:pPr>
      <w:r w:rsidRPr="00CE67BA">
        <w:rPr>
          <w:rFonts w:ascii="Times New Roman" w:hAnsi="Times New Roman"/>
          <w:lang w:eastAsia="uk-UA"/>
        </w:rPr>
        <w:t>Дебіторська і кредиторська заборгованість відображається з урахуванням суми ПДВ.</w:t>
      </w:r>
    </w:p>
    <w:p w:rsidR="00E66764" w:rsidRPr="00CE67BA" w:rsidRDefault="00E66764" w:rsidP="00E66764">
      <w:pPr>
        <w:pStyle w:val="aa"/>
        <w:spacing w:after="127" w:line="283" w:lineRule="exact"/>
        <w:ind w:left="20" w:right="20"/>
        <w:rPr>
          <w:rFonts w:ascii="Times New Roman" w:hAnsi="Times New Roman"/>
        </w:rPr>
      </w:pPr>
      <w:r w:rsidRPr="00CE67BA">
        <w:rPr>
          <w:rFonts w:ascii="Times New Roman" w:hAnsi="Times New Roman"/>
          <w:lang w:eastAsia="uk-UA"/>
        </w:rPr>
        <w:t>Чиста сума податку на додану вартість, що відшкодовується податковим органом або сплачується йому, включається до дебіторської або кредиторської заборгованості, відображеної у звіті про фінансовий стан.</w:t>
      </w:r>
    </w:p>
    <w:p w:rsidR="00E66764" w:rsidRPr="00CE67BA" w:rsidRDefault="00E66764" w:rsidP="00E66764">
      <w:pPr>
        <w:pStyle w:val="21"/>
        <w:keepNext/>
        <w:keepLines/>
        <w:shd w:val="clear" w:color="auto" w:fill="auto"/>
        <w:spacing w:after="68" w:line="200" w:lineRule="exact"/>
        <w:ind w:left="20"/>
        <w:rPr>
          <w:rFonts w:ascii="Times New Roman" w:eastAsia="Times New Roman" w:hAnsi="Times New Roman"/>
          <w:bCs w:val="0"/>
          <w:noProof w:val="0"/>
          <w:sz w:val="24"/>
          <w:szCs w:val="24"/>
          <w:lang w:val="uk-UA" w:eastAsia="uk-UA"/>
        </w:rPr>
      </w:pPr>
      <w:bookmarkStart w:id="23" w:name="bookmark14"/>
      <w:r w:rsidRPr="00CE67BA">
        <w:rPr>
          <w:rFonts w:ascii="Times New Roman" w:eastAsia="Times New Roman" w:hAnsi="Times New Roman"/>
          <w:bCs w:val="0"/>
          <w:noProof w:val="0"/>
          <w:sz w:val="24"/>
          <w:szCs w:val="24"/>
          <w:lang w:val="uk-UA" w:eastAsia="uk-UA"/>
        </w:rPr>
        <w:t>Поточний податок на прибуток</w:t>
      </w:r>
      <w:bookmarkEnd w:id="23"/>
    </w:p>
    <w:p w:rsidR="00E66764" w:rsidRPr="00CE67BA" w:rsidRDefault="00E66764" w:rsidP="00E66764">
      <w:pPr>
        <w:pStyle w:val="aa"/>
        <w:spacing w:after="127" w:line="283" w:lineRule="exact"/>
        <w:ind w:left="20" w:right="20"/>
        <w:rPr>
          <w:rFonts w:ascii="Times New Roman" w:hAnsi="Times New Roman"/>
          <w:lang w:eastAsia="uk-UA"/>
        </w:rPr>
      </w:pPr>
      <w:r w:rsidRPr="00CE67BA">
        <w:rPr>
          <w:rFonts w:ascii="Times New Roman" w:hAnsi="Times New Roman"/>
          <w:lang w:eastAsia="uk-UA"/>
        </w:rPr>
        <w:t>Нарахування поточного податку на прибуток здійснюється згідно з Українським податковим законодавством на основі оподатковуваного доходу і витрат, відображених компаніями в їх податкових деклараціях. В 201</w:t>
      </w:r>
      <w:r w:rsidR="009A1BB8" w:rsidRPr="00CE67BA">
        <w:rPr>
          <w:rFonts w:ascii="Times New Roman" w:hAnsi="Times New Roman"/>
          <w:lang w:eastAsia="uk-UA"/>
        </w:rPr>
        <w:t>6</w:t>
      </w:r>
      <w:r w:rsidRPr="00CE67BA">
        <w:rPr>
          <w:rFonts w:ascii="Times New Roman" w:hAnsi="Times New Roman"/>
          <w:lang w:eastAsia="uk-UA"/>
        </w:rPr>
        <w:t xml:space="preserve"> році ставка податку на прибуток підприємств складала 1</w:t>
      </w:r>
      <w:r w:rsidR="00FD7AD1" w:rsidRPr="00CE67BA">
        <w:rPr>
          <w:rFonts w:ascii="Times New Roman" w:hAnsi="Times New Roman"/>
          <w:lang w:eastAsia="uk-UA"/>
        </w:rPr>
        <w:t>8</w:t>
      </w:r>
      <w:r w:rsidRPr="00CE67BA">
        <w:rPr>
          <w:rFonts w:ascii="Times New Roman" w:hAnsi="Times New Roman"/>
          <w:lang w:eastAsia="uk-UA"/>
        </w:rPr>
        <w:t>%. Поточні податкові зобов'язання та активи за поточний і попередній періоди, оцінюються в сумі, що належить до сплати податковим органам або підлягає відшкодуванню податковими органами.</w:t>
      </w:r>
    </w:p>
    <w:p w:rsidR="00E66764" w:rsidRPr="00CE67BA" w:rsidRDefault="00E66764" w:rsidP="00E66764">
      <w:pPr>
        <w:pStyle w:val="21"/>
        <w:keepNext/>
        <w:keepLines/>
        <w:shd w:val="clear" w:color="auto" w:fill="auto"/>
        <w:spacing w:after="65" w:line="200" w:lineRule="exact"/>
        <w:ind w:left="20"/>
        <w:rPr>
          <w:rFonts w:ascii="Times New Roman" w:eastAsia="Times New Roman" w:hAnsi="Times New Roman"/>
          <w:bCs w:val="0"/>
          <w:noProof w:val="0"/>
          <w:sz w:val="24"/>
          <w:szCs w:val="24"/>
          <w:lang w:val="uk-UA" w:eastAsia="uk-UA"/>
        </w:rPr>
      </w:pPr>
      <w:bookmarkStart w:id="24" w:name="bookmark15"/>
      <w:r w:rsidRPr="00CE67BA">
        <w:rPr>
          <w:rFonts w:ascii="Times New Roman" w:eastAsia="Times New Roman" w:hAnsi="Times New Roman"/>
          <w:bCs w:val="0"/>
          <w:noProof w:val="0"/>
          <w:sz w:val="24"/>
          <w:szCs w:val="24"/>
          <w:lang w:val="uk-UA" w:eastAsia="uk-UA"/>
        </w:rPr>
        <w:t>Відстрочений податок на прибуток</w:t>
      </w:r>
      <w:bookmarkEnd w:id="24"/>
    </w:p>
    <w:p w:rsidR="00E66764" w:rsidRPr="00CE67BA" w:rsidRDefault="00E66764" w:rsidP="00E66764">
      <w:pPr>
        <w:pStyle w:val="aa"/>
        <w:spacing w:after="138" w:line="298" w:lineRule="exact"/>
        <w:ind w:left="20" w:right="20"/>
        <w:rPr>
          <w:rFonts w:ascii="Times New Roman" w:hAnsi="Times New Roman"/>
          <w:lang w:eastAsia="uk-UA"/>
        </w:rPr>
      </w:pPr>
      <w:r w:rsidRPr="00CE67BA">
        <w:rPr>
          <w:rFonts w:ascii="Times New Roman" w:hAnsi="Times New Roman"/>
          <w:lang w:eastAsia="uk-UA"/>
        </w:rPr>
        <w:t>Відстрочений податок на прибуток нараховується за методом зобов'язань станом на дату складання балансу по всіх тимчасових різницях між податковою базою активів і зобов'язань та їх балансовою вартістю, відображеною для цілей фінансової звітності.</w:t>
      </w:r>
    </w:p>
    <w:p w:rsidR="00E66764" w:rsidRPr="00CE67BA" w:rsidRDefault="00E66764" w:rsidP="00E66764">
      <w:pPr>
        <w:pStyle w:val="aa"/>
        <w:spacing w:after="63" w:line="200" w:lineRule="exact"/>
        <w:ind w:left="20"/>
        <w:rPr>
          <w:rFonts w:ascii="Times New Roman" w:hAnsi="Times New Roman"/>
          <w:lang w:eastAsia="uk-UA"/>
        </w:rPr>
      </w:pPr>
      <w:r w:rsidRPr="00CE67BA">
        <w:rPr>
          <w:rFonts w:ascii="Times New Roman" w:hAnsi="Times New Roman"/>
          <w:lang w:eastAsia="uk-UA"/>
        </w:rPr>
        <w:t>Відстрочені податкові зобов'язання визнаються по всіх оподатковуваних тимчасових різницях.</w:t>
      </w:r>
    </w:p>
    <w:p w:rsidR="00E66764" w:rsidRPr="00CE67BA" w:rsidRDefault="00E66764" w:rsidP="00E66764">
      <w:pPr>
        <w:pStyle w:val="aa"/>
        <w:spacing w:after="60" w:line="283" w:lineRule="exact"/>
        <w:ind w:left="20" w:right="20"/>
        <w:rPr>
          <w:rFonts w:ascii="Times New Roman" w:hAnsi="Times New Roman"/>
          <w:lang w:eastAsia="uk-UA"/>
        </w:rPr>
      </w:pPr>
      <w:r w:rsidRPr="00CE67BA">
        <w:rPr>
          <w:rFonts w:ascii="Times New Roman" w:hAnsi="Times New Roman"/>
          <w:lang w:eastAsia="uk-UA"/>
        </w:rPr>
        <w:t>На кожну балансову дату Товариство переглядає балансову вартість відстрочених податкових активів і зменшує їх балансову вартість, якщо більше не існує ймовірності одержання достатнього оподатковуваного прибутку, що дозволив би реалізувати суму такого відстроченого податкового активу.</w:t>
      </w:r>
    </w:p>
    <w:p w:rsidR="00E66764" w:rsidRPr="00CE67BA" w:rsidRDefault="00E66764" w:rsidP="00E66764">
      <w:pPr>
        <w:pStyle w:val="aa"/>
        <w:spacing w:after="52" w:line="283" w:lineRule="exact"/>
        <w:ind w:left="20" w:right="20"/>
        <w:rPr>
          <w:rFonts w:ascii="Times New Roman" w:hAnsi="Times New Roman"/>
          <w:lang w:eastAsia="uk-UA"/>
        </w:rPr>
      </w:pPr>
      <w:r w:rsidRPr="00CE67BA">
        <w:rPr>
          <w:rFonts w:ascii="Times New Roman" w:hAnsi="Times New Roman"/>
          <w:lang w:eastAsia="uk-UA"/>
        </w:rPr>
        <w:t>Відстрочені податкові активи та зобов'язання визначаються за податковими ставками (та податковими законами), застосування яких очікується у році, в якому відбудеться реалізація активу чи погашення зобов'язання, на основі діючих або оголошених на дату балансу податкових ставок і положень податкового законодавства.</w:t>
      </w:r>
    </w:p>
    <w:p w:rsidR="00E66764" w:rsidRPr="00CE67BA" w:rsidRDefault="00E66764" w:rsidP="00E66764">
      <w:pPr>
        <w:pStyle w:val="aa"/>
        <w:spacing w:after="68" w:line="293" w:lineRule="exact"/>
        <w:ind w:left="20" w:right="20"/>
        <w:rPr>
          <w:rFonts w:ascii="Times New Roman" w:hAnsi="Times New Roman"/>
          <w:lang w:eastAsia="uk-UA"/>
        </w:rPr>
      </w:pPr>
      <w:r w:rsidRPr="00CE67BA">
        <w:rPr>
          <w:rFonts w:ascii="Times New Roman" w:hAnsi="Times New Roman"/>
          <w:lang w:eastAsia="uk-UA"/>
        </w:rPr>
        <w:t>Відстрочений податок на прибуток, що стосується операцій, які обліковуються не в звіті про прибутки та збитки, обліковується відповідно. Відстрочений податок на прибуток, пов'язаний зі статтями, які відображаються безпосередньо в складі капіталу, відображається в складі капіталу.</w:t>
      </w:r>
    </w:p>
    <w:p w:rsidR="00AC256C" w:rsidRPr="00CE67BA" w:rsidRDefault="00E66764" w:rsidP="00E66764">
      <w:pPr>
        <w:widowControl/>
        <w:spacing w:line="240" w:lineRule="auto"/>
        <w:ind w:firstLine="709"/>
        <w:rPr>
          <w:rFonts w:eastAsia="Times New Roman"/>
          <w:sz w:val="24"/>
          <w:szCs w:val="24"/>
          <w:lang w:eastAsia="uk-UA"/>
        </w:rPr>
      </w:pPr>
      <w:r w:rsidRPr="00CE67BA">
        <w:rPr>
          <w:rFonts w:eastAsia="Times New Roman"/>
          <w:sz w:val="24"/>
          <w:szCs w:val="24"/>
          <w:lang w:eastAsia="uk-UA"/>
        </w:rPr>
        <w:t>Відстрочені податкові активи та відстрочені податкові зобов'язання підлягають взаємозаліку при наявності повного юридичного права зарахувати поточні податкові активи в рахунок поточних податкових зобов'язань, та якщо відстрочені податкові активи та зобов'язання стосуються одного суб'єкта оподаткування та одного податкового органу</w:t>
      </w:r>
      <w:r w:rsidR="00D60621" w:rsidRPr="00CE67BA">
        <w:rPr>
          <w:rFonts w:eastAsia="Times New Roman"/>
          <w:sz w:val="24"/>
          <w:szCs w:val="24"/>
          <w:lang w:eastAsia="uk-UA"/>
        </w:rPr>
        <w:t>.</w:t>
      </w:r>
    </w:p>
    <w:p w:rsidR="00DB1FE1" w:rsidRPr="00CE67BA" w:rsidRDefault="00DB1FE1" w:rsidP="003720C2">
      <w:pPr>
        <w:widowControl/>
        <w:spacing w:line="240" w:lineRule="auto"/>
        <w:ind w:firstLine="709"/>
        <w:rPr>
          <w:rFonts w:eastAsia="Times New Roman"/>
          <w:sz w:val="24"/>
          <w:szCs w:val="24"/>
          <w:lang w:eastAsia="uk-UA"/>
        </w:rPr>
      </w:pPr>
    </w:p>
    <w:p w:rsidR="00AC256C" w:rsidRPr="00CE67BA" w:rsidRDefault="00D60621" w:rsidP="00CF029D">
      <w:pPr>
        <w:widowControl/>
        <w:spacing w:line="240" w:lineRule="auto"/>
        <w:ind w:firstLine="708"/>
        <w:rPr>
          <w:rFonts w:eastAsia="Times New Roman"/>
          <w:b/>
          <w:sz w:val="24"/>
          <w:szCs w:val="24"/>
          <w:lang w:eastAsia="uk-UA"/>
        </w:rPr>
      </w:pPr>
      <w:r w:rsidRPr="00CE67BA">
        <w:rPr>
          <w:rFonts w:eastAsia="Times New Roman"/>
          <w:b/>
          <w:sz w:val="24"/>
          <w:szCs w:val="24"/>
          <w:lang w:eastAsia="uk-UA"/>
        </w:rPr>
        <w:t>13</w:t>
      </w:r>
      <w:r w:rsidR="00CF029D" w:rsidRPr="00CE67BA">
        <w:rPr>
          <w:rFonts w:eastAsia="Times New Roman"/>
          <w:b/>
          <w:sz w:val="24"/>
          <w:szCs w:val="24"/>
          <w:lang w:eastAsia="uk-UA"/>
        </w:rPr>
        <w:t xml:space="preserve">. </w:t>
      </w:r>
      <w:r w:rsidR="00AC256C" w:rsidRPr="00CE67BA">
        <w:rPr>
          <w:rFonts w:eastAsia="Times New Roman"/>
          <w:b/>
          <w:sz w:val="24"/>
          <w:szCs w:val="24"/>
          <w:lang w:eastAsia="uk-UA"/>
        </w:rPr>
        <w:t>Доходи/Витрати.</w:t>
      </w:r>
    </w:p>
    <w:p w:rsidR="00267EFD" w:rsidRPr="00CE67BA" w:rsidRDefault="00267EFD" w:rsidP="00267EFD">
      <w:pPr>
        <w:pStyle w:val="3"/>
        <w:spacing w:line="259" w:lineRule="auto"/>
        <w:ind w:left="454" w:firstLine="0"/>
        <w:rPr>
          <w:rFonts w:eastAsia="Times New Roman"/>
          <w:b/>
          <w:sz w:val="24"/>
          <w:szCs w:val="24"/>
          <w:lang w:eastAsia="uk-UA"/>
        </w:rPr>
      </w:pPr>
      <w:bookmarkStart w:id="25" w:name="OLE_LINK42"/>
      <w:bookmarkStart w:id="26" w:name="OLE_LINK43"/>
      <w:bookmarkStart w:id="27" w:name="OLE_LINK44"/>
      <w:bookmarkStart w:id="28" w:name="OLE_LINK45"/>
      <w:bookmarkEnd w:id="20"/>
      <w:bookmarkEnd w:id="21"/>
      <w:r w:rsidRPr="00CE67BA">
        <w:rPr>
          <w:rFonts w:eastAsia="Times New Roman"/>
          <w:b/>
          <w:sz w:val="24"/>
          <w:szCs w:val="24"/>
          <w:lang w:eastAsia="uk-UA"/>
        </w:rPr>
        <w:t xml:space="preserve">Доходи </w:t>
      </w:r>
    </w:p>
    <w:p w:rsidR="00267EFD" w:rsidRPr="00CE67BA" w:rsidRDefault="00267EFD" w:rsidP="00267EFD">
      <w:pPr>
        <w:pStyle w:val="3"/>
        <w:spacing w:line="259" w:lineRule="auto"/>
        <w:ind w:left="454" w:firstLine="0"/>
        <w:rPr>
          <w:rFonts w:eastAsia="Times New Roman"/>
          <w:bCs/>
          <w:sz w:val="24"/>
          <w:szCs w:val="24"/>
          <w:lang w:eastAsia="uk-UA"/>
        </w:rPr>
      </w:pPr>
      <w:r w:rsidRPr="00CE67BA">
        <w:rPr>
          <w:rFonts w:eastAsia="Times New Roman"/>
          <w:bCs/>
          <w:sz w:val="24"/>
          <w:szCs w:val="24"/>
          <w:lang w:eastAsia="uk-UA"/>
        </w:rPr>
        <w:t xml:space="preserve">    Дохід – це збільшення економічних вигід протягом облікового періоду у вигляді надходження чи збільшення корисності активів або у вигляді зменшення зобов’язань, результатом чого є збільшення чистих активів, за винятком збільшення, пов’язаного з </w:t>
      </w:r>
      <w:r w:rsidRPr="00CE67BA">
        <w:rPr>
          <w:rFonts w:eastAsia="Times New Roman"/>
          <w:bCs/>
          <w:sz w:val="24"/>
          <w:szCs w:val="24"/>
          <w:lang w:eastAsia="uk-UA"/>
        </w:rPr>
        <w:lastRenderedPageBreak/>
        <w:t>внесками учасників.</w:t>
      </w:r>
    </w:p>
    <w:p w:rsidR="00267EFD" w:rsidRPr="00CE67BA" w:rsidRDefault="00267EFD" w:rsidP="00267EFD">
      <w:pPr>
        <w:pStyle w:val="3"/>
        <w:ind w:left="360" w:firstLine="0"/>
        <w:rPr>
          <w:rFonts w:eastAsia="Times New Roman"/>
          <w:bCs/>
          <w:sz w:val="24"/>
          <w:szCs w:val="24"/>
          <w:lang w:eastAsia="uk-UA"/>
        </w:rPr>
      </w:pPr>
      <w:r w:rsidRPr="00CE67BA">
        <w:rPr>
          <w:rFonts w:eastAsia="Times New Roman"/>
          <w:bCs/>
          <w:sz w:val="24"/>
          <w:szCs w:val="24"/>
          <w:lang w:eastAsia="uk-UA"/>
        </w:rPr>
        <w:t>Дохід визнається у звіті про прибутки та збитки за умови відповідності визначенню та критеріям визнання. Це, власне, означає, що визнання доходу відбувається одночасно з визнанням збільшення активів або зменшення зобов’язань.</w:t>
      </w:r>
    </w:p>
    <w:p w:rsidR="00267EFD" w:rsidRPr="00CE67BA" w:rsidRDefault="00267EFD" w:rsidP="00267EFD">
      <w:pPr>
        <w:pStyle w:val="3"/>
        <w:ind w:left="360" w:firstLine="0"/>
        <w:rPr>
          <w:rFonts w:eastAsia="Times New Roman"/>
          <w:bCs/>
          <w:sz w:val="24"/>
          <w:szCs w:val="24"/>
          <w:lang w:eastAsia="uk-UA"/>
        </w:rPr>
      </w:pPr>
      <w:r w:rsidRPr="00CE67BA">
        <w:rPr>
          <w:rFonts w:eastAsia="Times New Roman"/>
          <w:bCs/>
          <w:sz w:val="24"/>
          <w:szCs w:val="24"/>
          <w:lang w:eastAsia="uk-UA"/>
        </w:rPr>
        <w:t xml:space="preserve">Дохід  від продажу товарів визнається в разі задоволення всіх наведених далі умов: </w:t>
      </w:r>
    </w:p>
    <w:p w:rsidR="00267EFD" w:rsidRPr="00CE67BA" w:rsidRDefault="00267EFD" w:rsidP="00267EFD">
      <w:pPr>
        <w:pStyle w:val="3"/>
        <w:rPr>
          <w:rFonts w:eastAsia="Times New Roman"/>
          <w:bCs/>
          <w:sz w:val="24"/>
          <w:szCs w:val="24"/>
          <w:lang w:eastAsia="uk-UA"/>
        </w:rPr>
      </w:pPr>
      <w:r w:rsidRPr="00CE67BA">
        <w:rPr>
          <w:rFonts w:eastAsia="Times New Roman"/>
          <w:bCs/>
          <w:sz w:val="24"/>
          <w:szCs w:val="24"/>
          <w:lang w:eastAsia="uk-UA"/>
        </w:rPr>
        <w:t xml:space="preserve">а) </w:t>
      </w:r>
      <w:r w:rsidRPr="00CE67BA">
        <w:rPr>
          <w:rFonts w:eastAsia="Times New Roman"/>
          <w:sz w:val="24"/>
          <w:szCs w:val="24"/>
          <w:lang w:eastAsia="uk-UA"/>
        </w:rPr>
        <w:t xml:space="preserve">Товариство з обмеженою відповідальністю </w:t>
      </w:r>
      <w:r w:rsidR="00305625" w:rsidRPr="00CE67BA">
        <w:rPr>
          <w:rFonts w:eastAsia="Times New Roman"/>
          <w:sz w:val="24"/>
          <w:szCs w:val="24"/>
          <w:lang w:eastAsia="uk-UA"/>
        </w:rPr>
        <w:t>«Фінансова Компанія «</w:t>
      </w:r>
      <w:proofErr w:type="spellStart"/>
      <w:r w:rsidR="00305625" w:rsidRPr="00CE67BA">
        <w:rPr>
          <w:rFonts w:eastAsia="Times New Roman"/>
          <w:sz w:val="24"/>
          <w:szCs w:val="24"/>
          <w:lang w:eastAsia="uk-UA"/>
        </w:rPr>
        <w:t>Преміум</w:t>
      </w:r>
      <w:proofErr w:type="spellEnd"/>
      <w:r w:rsidR="00305625" w:rsidRPr="00CE67BA">
        <w:rPr>
          <w:rFonts w:eastAsia="Times New Roman"/>
          <w:sz w:val="24"/>
          <w:szCs w:val="24"/>
          <w:lang w:eastAsia="uk-UA"/>
        </w:rPr>
        <w:t xml:space="preserve"> </w:t>
      </w:r>
      <w:proofErr w:type="spellStart"/>
      <w:r w:rsidR="00305625" w:rsidRPr="00CE67BA">
        <w:rPr>
          <w:rFonts w:eastAsia="Times New Roman"/>
          <w:sz w:val="24"/>
          <w:szCs w:val="24"/>
          <w:lang w:eastAsia="uk-UA"/>
        </w:rPr>
        <w:t>Кепітал</w:t>
      </w:r>
      <w:proofErr w:type="spellEnd"/>
      <w:r w:rsidR="00305625" w:rsidRPr="00CE67BA">
        <w:rPr>
          <w:rFonts w:eastAsia="Times New Roman"/>
          <w:sz w:val="24"/>
          <w:szCs w:val="24"/>
          <w:lang w:eastAsia="uk-UA"/>
        </w:rPr>
        <w:t xml:space="preserve"> Груп» </w:t>
      </w:r>
      <w:r w:rsidRPr="00CE67BA">
        <w:rPr>
          <w:rFonts w:eastAsia="Times New Roman"/>
          <w:bCs/>
          <w:sz w:val="24"/>
          <w:szCs w:val="24"/>
          <w:lang w:eastAsia="uk-UA"/>
        </w:rPr>
        <w:t>передав покупцеві суттєві ризики і винагороди, пов'язані з власністю на товар;</w:t>
      </w:r>
    </w:p>
    <w:p w:rsidR="00267EFD" w:rsidRPr="00CE67BA" w:rsidRDefault="00267EFD" w:rsidP="00267EFD">
      <w:pPr>
        <w:pStyle w:val="3"/>
        <w:rPr>
          <w:rFonts w:eastAsia="Times New Roman"/>
          <w:bCs/>
          <w:sz w:val="24"/>
          <w:szCs w:val="24"/>
          <w:lang w:eastAsia="uk-UA"/>
        </w:rPr>
      </w:pPr>
      <w:r w:rsidRPr="00CE67BA">
        <w:rPr>
          <w:rFonts w:eastAsia="Times New Roman"/>
          <w:bCs/>
          <w:sz w:val="24"/>
          <w:szCs w:val="24"/>
          <w:lang w:eastAsia="uk-UA"/>
        </w:rPr>
        <w:t>б) за</w:t>
      </w:r>
      <w:r w:rsidRPr="00CE67BA">
        <w:rPr>
          <w:rFonts w:eastAsia="Times New Roman"/>
          <w:sz w:val="24"/>
          <w:szCs w:val="24"/>
          <w:lang w:eastAsia="uk-UA"/>
        </w:rPr>
        <w:t xml:space="preserve"> Товариство</w:t>
      </w:r>
      <w:r w:rsidR="00305625" w:rsidRPr="00CE67BA">
        <w:rPr>
          <w:rFonts w:eastAsia="Times New Roman"/>
          <w:sz w:val="24"/>
          <w:szCs w:val="24"/>
          <w:lang w:eastAsia="uk-UA"/>
        </w:rPr>
        <w:t>м з обмеже</w:t>
      </w:r>
      <w:r w:rsidRPr="00CE67BA">
        <w:rPr>
          <w:rFonts w:eastAsia="Times New Roman"/>
          <w:sz w:val="24"/>
          <w:szCs w:val="24"/>
          <w:lang w:eastAsia="uk-UA"/>
        </w:rPr>
        <w:t xml:space="preserve">ною відповідальністю </w:t>
      </w:r>
      <w:r w:rsidR="00305625" w:rsidRPr="00CE67BA">
        <w:rPr>
          <w:rFonts w:eastAsia="Times New Roman"/>
          <w:sz w:val="24"/>
          <w:szCs w:val="24"/>
          <w:lang w:eastAsia="uk-UA"/>
        </w:rPr>
        <w:t>«Фінансова Компанія «</w:t>
      </w:r>
      <w:proofErr w:type="spellStart"/>
      <w:r w:rsidR="00305625" w:rsidRPr="00CE67BA">
        <w:rPr>
          <w:rFonts w:eastAsia="Times New Roman"/>
          <w:sz w:val="24"/>
          <w:szCs w:val="24"/>
          <w:lang w:eastAsia="uk-UA"/>
        </w:rPr>
        <w:t>Преміум</w:t>
      </w:r>
      <w:proofErr w:type="spellEnd"/>
      <w:r w:rsidR="00305625" w:rsidRPr="00CE67BA">
        <w:rPr>
          <w:rFonts w:eastAsia="Times New Roman"/>
          <w:sz w:val="24"/>
          <w:szCs w:val="24"/>
          <w:lang w:eastAsia="uk-UA"/>
        </w:rPr>
        <w:t xml:space="preserve"> </w:t>
      </w:r>
      <w:proofErr w:type="spellStart"/>
      <w:r w:rsidR="00305625" w:rsidRPr="00CE67BA">
        <w:rPr>
          <w:rFonts w:eastAsia="Times New Roman"/>
          <w:sz w:val="24"/>
          <w:szCs w:val="24"/>
          <w:lang w:eastAsia="uk-UA"/>
        </w:rPr>
        <w:t>Кепітал</w:t>
      </w:r>
      <w:proofErr w:type="spellEnd"/>
      <w:r w:rsidR="00305625" w:rsidRPr="00CE67BA">
        <w:rPr>
          <w:rFonts w:eastAsia="Times New Roman"/>
          <w:sz w:val="24"/>
          <w:szCs w:val="24"/>
          <w:lang w:eastAsia="uk-UA"/>
        </w:rPr>
        <w:t xml:space="preserve"> Груп» </w:t>
      </w:r>
      <w:r w:rsidRPr="00CE67BA">
        <w:rPr>
          <w:rFonts w:eastAsia="Times New Roman"/>
          <w:bCs/>
          <w:sz w:val="24"/>
          <w:szCs w:val="24"/>
          <w:lang w:eastAsia="uk-UA"/>
        </w:rPr>
        <w:t xml:space="preserve">не залишається ані подальша участь управлінського персоналу у формі, яка, як правило, пов'язана з володінням, ані ефективний контроль за проданими товарами; </w:t>
      </w:r>
    </w:p>
    <w:p w:rsidR="00267EFD" w:rsidRPr="00CE67BA" w:rsidRDefault="00267EFD" w:rsidP="00267EFD">
      <w:pPr>
        <w:pStyle w:val="3"/>
        <w:rPr>
          <w:rFonts w:eastAsia="Times New Roman"/>
          <w:bCs/>
          <w:sz w:val="24"/>
          <w:szCs w:val="24"/>
          <w:lang w:eastAsia="uk-UA"/>
        </w:rPr>
      </w:pPr>
      <w:r w:rsidRPr="00CE67BA">
        <w:rPr>
          <w:rFonts w:eastAsia="Times New Roman"/>
          <w:bCs/>
          <w:sz w:val="24"/>
          <w:szCs w:val="24"/>
          <w:lang w:eastAsia="uk-UA"/>
        </w:rPr>
        <w:t>в) суму доходу можна достовірно оцінити;</w:t>
      </w:r>
    </w:p>
    <w:p w:rsidR="00267EFD" w:rsidRPr="00CE67BA" w:rsidRDefault="00267EFD" w:rsidP="00267EFD">
      <w:pPr>
        <w:pStyle w:val="3"/>
        <w:ind w:left="720" w:firstLine="0"/>
        <w:rPr>
          <w:rFonts w:eastAsia="Times New Roman"/>
          <w:bCs/>
          <w:sz w:val="24"/>
          <w:szCs w:val="24"/>
          <w:lang w:eastAsia="uk-UA"/>
        </w:rPr>
      </w:pPr>
      <w:r w:rsidRPr="00CE67BA">
        <w:rPr>
          <w:rFonts w:eastAsia="Times New Roman"/>
          <w:bCs/>
          <w:sz w:val="24"/>
          <w:szCs w:val="24"/>
          <w:lang w:eastAsia="uk-UA"/>
        </w:rPr>
        <w:t xml:space="preserve">г) ймовірно, що до </w:t>
      </w:r>
      <w:r w:rsidRPr="00CE67BA">
        <w:rPr>
          <w:rFonts w:eastAsia="Times New Roman"/>
          <w:sz w:val="24"/>
          <w:szCs w:val="24"/>
          <w:lang w:eastAsia="uk-UA"/>
        </w:rPr>
        <w:t xml:space="preserve">Товариства з обмеженою відповідальністю </w:t>
      </w:r>
      <w:r w:rsidR="00305625" w:rsidRPr="00CE67BA">
        <w:rPr>
          <w:rFonts w:eastAsia="Times New Roman"/>
          <w:sz w:val="24"/>
          <w:szCs w:val="24"/>
          <w:lang w:eastAsia="uk-UA"/>
        </w:rPr>
        <w:t>«Фінансова Компанія «</w:t>
      </w:r>
      <w:proofErr w:type="spellStart"/>
      <w:r w:rsidR="00305625" w:rsidRPr="00CE67BA">
        <w:rPr>
          <w:rFonts w:eastAsia="Times New Roman"/>
          <w:sz w:val="24"/>
          <w:szCs w:val="24"/>
          <w:lang w:eastAsia="uk-UA"/>
        </w:rPr>
        <w:t>Преміум</w:t>
      </w:r>
      <w:proofErr w:type="spellEnd"/>
      <w:r w:rsidR="00305625" w:rsidRPr="00CE67BA">
        <w:rPr>
          <w:rFonts w:eastAsia="Times New Roman"/>
          <w:sz w:val="24"/>
          <w:szCs w:val="24"/>
          <w:lang w:eastAsia="uk-UA"/>
        </w:rPr>
        <w:t xml:space="preserve"> </w:t>
      </w:r>
      <w:proofErr w:type="spellStart"/>
      <w:r w:rsidR="00305625" w:rsidRPr="00CE67BA">
        <w:rPr>
          <w:rFonts w:eastAsia="Times New Roman"/>
          <w:sz w:val="24"/>
          <w:szCs w:val="24"/>
          <w:lang w:eastAsia="uk-UA"/>
        </w:rPr>
        <w:t>Кепітал</w:t>
      </w:r>
      <w:proofErr w:type="spellEnd"/>
      <w:r w:rsidR="00305625" w:rsidRPr="00CE67BA">
        <w:rPr>
          <w:rFonts w:eastAsia="Times New Roman"/>
          <w:sz w:val="24"/>
          <w:szCs w:val="24"/>
          <w:lang w:eastAsia="uk-UA"/>
        </w:rPr>
        <w:t xml:space="preserve"> Груп» </w:t>
      </w:r>
      <w:r w:rsidRPr="00CE67BA">
        <w:rPr>
          <w:rFonts w:eastAsia="Times New Roman"/>
          <w:bCs/>
          <w:sz w:val="24"/>
          <w:szCs w:val="24"/>
          <w:lang w:eastAsia="uk-UA"/>
        </w:rPr>
        <w:t xml:space="preserve">надійдуть економічні вигоди, пов'язані з операцією; </w:t>
      </w:r>
    </w:p>
    <w:p w:rsidR="00267EFD" w:rsidRPr="00CE67BA" w:rsidRDefault="00267EFD" w:rsidP="00267EFD">
      <w:pPr>
        <w:pStyle w:val="3"/>
        <w:ind w:left="720" w:firstLine="0"/>
        <w:rPr>
          <w:rFonts w:eastAsia="Times New Roman"/>
          <w:bCs/>
          <w:sz w:val="24"/>
          <w:szCs w:val="24"/>
          <w:lang w:eastAsia="uk-UA"/>
        </w:rPr>
      </w:pPr>
      <w:r w:rsidRPr="00CE67BA">
        <w:rPr>
          <w:rFonts w:eastAsia="Times New Roman"/>
          <w:bCs/>
          <w:sz w:val="24"/>
          <w:szCs w:val="24"/>
          <w:lang w:eastAsia="uk-UA"/>
        </w:rPr>
        <w:t xml:space="preserve">ґ) витрати, які були або будуть понесені у зв'язку з операцією, можна достовірно оцінити. </w:t>
      </w:r>
    </w:p>
    <w:p w:rsidR="00267EFD" w:rsidRPr="00CE67BA" w:rsidRDefault="00267EFD" w:rsidP="00267EFD">
      <w:pPr>
        <w:pStyle w:val="3"/>
        <w:ind w:left="360" w:firstLine="0"/>
        <w:rPr>
          <w:rFonts w:eastAsia="Times New Roman"/>
          <w:bCs/>
          <w:sz w:val="24"/>
          <w:szCs w:val="24"/>
          <w:lang w:eastAsia="uk-UA"/>
        </w:rPr>
      </w:pPr>
      <w:r w:rsidRPr="00CE67BA">
        <w:rPr>
          <w:rFonts w:eastAsia="Times New Roman"/>
          <w:bCs/>
          <w:sz w:val="24"/>
          <w:szCs w:val="24"/>
          <w:lang w:eastAsia="uk-UA"/>
        </w:rPr>
        <w:t xml:space="preserve">Дохід від виконання послуг визнається як той що підлягає отриманню, і визначається на дату отримання коштів від клієнта за отримання фінансового кредиту під заставу майна, у разі задоволення всіх наведених далі умов: </w:t>
      </w:r>
    </w:p>
    <w:p w:rsidR="00267EFD" w:rsidRPr="00CE67BA" w:rsidRDefault="00267EFD" w:rsidP="00267EFD">
      <w:pPr>
        <w:pStyle w:val="3"/>
        <w:ind w:left="720" w:firstLine="0"/>
        <w:rPr>
          <w:rFonts w:eastAsia="Times New Roman"/>
          <w:bCs/>
          <w:sz w:val="24"/>
          <w:szCs w:val="24"/>
          <w:lang w:eastAsia="uk-UA"/>
        </w:rPr>
      </w:pPr>
      <w:r w:rsidRPr="00CE67BA">
        <w:rPr>
          <w:rFonts w:eastAsia="Times New Roman"/>
          <w:bCs/>
          <w:sz w:val="24"/>
          <w:szCs w:val="24"/>
          <w:lang w:eastAsia="uk-UA"/>
        </w:rPr>
        <w:t xml:space="preserve">а) можна достовірно оцінити суму доходу; </w:t>
      </w:r>
    </w:p>
    <w:p w:rsidR="00267EFD" w:rsidRPr="00CE67BA" w:rsidRDefault="00267EFD" w:rsidP="00267EFD">
      <w:pPr>
        <w:pStyle w:val="3"/>
        <w:ind w:left="360" w:firstLine="0"/>
        <w:rPr>
          <w:rFonts w:eastAsia="Times New Roman"/>
          <w:bCs/>
          <w:sz w:val="24"/>
          <w:szCs w:val="24"/>
          <w:lang w:eastAsia="uk-UA"/>
        </w:rPr>
      </w:pPr>
      <w:r w:rsidRPr="00CE67BA">
        <w:rPr>
          <w:rFonts w:eastAsia="Times New Roman"/>
          <w:bCs/>
          <w:sz w:val="24"/>
          <w:szCs w:val="24"/>
          <w:lang w:eastAsia="uk-UA"/>
        </w:rPr>
        <w:t xml:space="preserve">     б) є ймовірність надходження економічних вигід, пов'язаних з операцією; </w:t>
      </w:r>
    </w:p>
    <w:p w:rsidR="00267EFD" w:rsidRPr="00CE67BA" w:rsidRDefault="00267EFD" w:rsidP="00267EFD">
      <w:pPr>
        <w:pStyle w:val="3"/>
        <w:ind w:left="720" w:firstLine="0"/>
        <w:rPr>
          <w:rFonts w:eastAsia="Times New Roman"/>
          <w:bCs/>
          <w:sz w:val="24"/>
          <w:szCs w:val="24"/>
          <w:lang w:eastAsia="uk-UA"/>
        </w:rPr>
      </w:pPr>
      <w:r w:rsidRPr="00CE67BA">
        <w:rPr>
          <w:rFonts w:eastAsia="Times New Roman"/>
          <w:bCs/>
          <w:sz w:val="24"/>
          <w:szCs w:val="24"/>
          <w:lang w:eastAsia="uk-UA"/>
        </w:rPr>
        <w:t xml:space="preserve">в) можна достовірно оцінити ступінь завершеності операції на кінець звітного періоду; та </w:t>
      </w:r>
    </w:p>
    <w:p w:rsidR="00267EFD" w:rsidRPr="00CE67BA" w:rsidRDefault="00267EFD" w:rsidP="00267EFD">
      <w:pPr>
        <w:pStyle w:val="3"/>
        <w:ind w:left="720" w:firstLine="0"/>
        <w:rPr>
          <w:rFonts w:eastAsia="Times New Roman"/>
          <w:sz w:val="24"/>
          <w:szCs w:val="24"/>
          <w:lang w:eastAsia="uk-UA"/>
        </w:rPr>
      </w:pPr>
      <w:r w:rsidRPr="00CE67BA">
        <w:rPr>
          <w:rFonts w:eastAsia="Times New Roman"/>
          <w:bCs/>
          <w:sz w:val="24"/>
          <w:szCs w:val="24"/>
          <w:lang w:eastAsia="uk-UA"/>
        </w:rPr>
        <w:t xml:space="preserve">г) можна достовірно оцінити витрати, понесені у зв'язку з операцією, та витрати, необхідні для її завершення. </w:t>
      </w:r>
    </w:p>
    <w:p w:rsidR="006A11DB" w:rsidRPr="00CE67BA" w:rsidRDefault="006A11DB" w:rsidP="006A11DB">
      <w:pPr>
        <w:widowControl/>
        <w:autoSpaceDE w:val="0"/>
        <w:autoSpaceDN w:val="0"/>
        <w:adjustRightInd w:val="0"/>
        <w:spacing w:line="240" w:lineRule="auto"/>
        <w:ind w:firstLine="0"/>
        <w:rPr>
          <w:sz w:val="24"/>
          <w:szCs w:val="24"/>
          <w:lang w:eastAsia="uk-UA"/>
        </w:rPr>
      </w:pPr>
    </w:p>
    <w:p w:rsidR="00066067" w:rsidRPr="00CE67BA" w:rsidRDefault="00066067" w:rsidP="006A11DB">
      <w:pPr>
        <w:widowControl/>
        <w:autoSpaceDE w:val="0"/>
        <w:autoSpaceDN w:val="0"/>
        <w:adjustRightInd w:val="0"/>
        <w:spacing w:line="240" w:lineRule="auto"/>
        <w:ind w:firstLine="0"/>
        <w:rPr>
          <w:sz w:val="24"/>
          <w:szCs w:val="24"/>
          <w:lang w:eastAsia="uk-UA"/>
        </w:rPr>
      </w:pPr>
    </w:p>
    <w:p w:rsidR="006A11DB" w:rsidRPr="00CE67BA" w:rsidRDefault="006A11DB" w:rsidP="006A11DB">
      <w:pPr>
        <w:widowControl/>
        <w:autoSpaceDE w:val="0"/>
        <w:autoSpaceDN w:val="0"/>
        <w:adjustRightInd w:val="0"/>
        <w:spacing w:line="240" w:lineRule="auto"/>
        <w:ind w:firstLine="0"/>
        <w:rPr>
          <w:sz w:val="24"/>
          <w:szCs w:val="24"/>
          <w:lang w:eastAsia="uk-UA"/>
        </w:rPr>
      </w:pPr>
      <w:r w:rsidRPr="00CE67BA">
        <w:rPr>
          <w:sz w:val="24"/>
          <w:szCs w:val="24"/>
          <w:lang w:eastAsia="uk-UA"/>
        </w:rPr>
        <w:t>Загальна сума отриманого доходу за 201</w:t>
      </w:r>
      <w:r w:rsidR="009A1BB8" w:rsidRPr="00CE67BA">
        <w:rPr>
          <w:sz w:val="24"/>
          <w:szCs w:val="24"/>
          <w:lang w:eastAsia="uk-UA"/>
        </w:rPr>
        <w:t>6</w:t>
      </w:r>
      <w:r w:rsidRPr="00CE67BA">
        <w:rPr>
          <w:sz w:val="24"/>
          <w:szCs w:val="24"/>
          <w:lang w:eastAsia="uk-UA"/>
        </w:rPr>
        <w:t xml:space="preserve"> рік становила: </w:t>
      </w:r>
    </w:p>
    <w:p w:rsidR="00D60621" w:rsidRPr="00CE67BA" w:rsidRDefault="006A11DB" w:rsidP="00267EFD">
      <w:pPr>
        <w:pStyle w:val="a3"/>
        <w:numPr>
          <w:ilvl w:val="0"/>
          <w:numId w:val="28"/>
        </w:numPr>
        <w:autoSpaceDE w:val="0"/>
        <w:autoSpaceDN w:val="0"/>
        <w:adjustRightInd w:val="0"/>
        <w:spacing w:line="240" w:lineRule="auto"/>
        <w:ind w:left="927"/>
        <w:rPr>
          <w:rFonts w:ascii="Times New Roman" w:hAnsi="Times New Roman"/>
          <w:b/>
          <w:sz w:val="24"/>
          <w:szCs w:val="24"/>
          <w:lang w:eastAsia="uk-UA"/>
        </w:rPr>
      </w:pPr>
      <w:r w:rsidRPr="00CE67BA">
        <w:rPr>
          <w:rFonts w:ascii="Times New Roman" w:hAnsi="Times New Roman"/>
          <w:sz w:val="24"/>
          <w:szCs w:val="24"/>
          <w:lang w:eastAsia="uk-UA"/>
        </w:rPr>
        <w:t xml:space="preserve">проценти за користування фінансовими кредитами – </w:t>
      </w:r>
      <w:r w:rsidR="005B69F6" w:rsidRPr="00CE67BA">
        <w:rPr>
          <w:rFonts w:ascii="Times New Roman" w:hAnsi="Times New Roman"/>
          <w:sz w:val="24"/>
          <w:szCs w:val="24"/>
          <w:lang w:eastAsia="uk-UA"/>
        </w:rPr>
        <w:t>26,7</w:t>
      </w:r>
      <w:r w:rsidRPr="00CE67BA">
        <w:rPr>
          <w:rFonts w:ascii="Times New Roman" w:hAnsi="Times New Roman"/>
          <w:sz w:val="24"/>
          <w:szCs w:val="24"/>
          <w:lang w:eastAsia="uk-UA"/>
        </w:rPr>
        <w:t xml:space="preserve"> тис. грн.</w:t>
      </w:r>
    </w:p>
    <w:p w:rsidR="00D60621" w:rsidRPr="00CE67BA" w:rsidRDefault="00D60621" w:rsidP="00267EFD">
      <w:pPr>
        <w:pStyle w:val="a3"/>
        <w:autoSpaceDE w:val="0"/>
        <w:autoSpaceDN w:val="0"/>
        <w:adjustRightInd w:val="0"/>
        <w:spacing w:line="240" w:lineRule="auto"/>
        <w:ind w:left="927"/>
        <w:rPr>
          <w:rFonts w:ascii="Times New Roman" w:hAnsi="Times New Roman"/>
          <w:b/>
          <w:sz w:val="24"/>
          <w:szCs w:val="24"/>
          <w:lang w:eastAsia="uk-UA"/>
        </w:rPr>
      </w:pPr>
    </w:p>
    <w:p w:rsidR="00D60621" w:rsidRPr="00CE67BA" w:rsidRDefault="00267EFD" w:rsidP="00267EFD">
      <w:pPr>
        <w:pStyle w:val="a3"/>
        <w:autoSpaceDE w:val="0"/>
        <w:autoSpaceDN w:val="0"/>
        <w:adjustRightInd w:val="0"/>
        <w:spacing w:line="240" w:lineRule="auto"/>
        <w:ind w:left="927"/>
        <w:rPr>
          <w:rFonts w:ascii="Times New Roman" w:hAnsi="Times New Roman"/>
          <w:b/>
          <w:sz w:val="24"/>
          <w:szCs w:val="24"/>
          <w:lang w:val="en-US" w:eastAsia="uk-UA"/>
        </w:rPr>
      </w:pPr>
      <w:r w:rsidRPr="00CE67BA">
        <w:rPr>
          <w:rFonts w:ascii="Times New Roman" w:hAnsi="Times New Roman"/>
          <w:b/>
          <w:sz w:val="24"/>
          <w:szCs w:val="24"/>
          <w:lang w:eastAsia="uk-UA"/>
        </w:rPr>
        <w:t>Витрати</w:t>
      </w:r>
    </w:p>
    <w:p w:rsidR="00CE67BA" w:rsidRPr="00CE67BA" w:rsidRDefault="00CE67BA" w:rsidP="00CE67BA">
      <w:pPr>
        <w:pStyle w:val="3"/>
        <w:rPr>
          <w:rFonts w:eastAsia="Times New Roman"/>
          <w:bCs/>
          <w:sz w:val="24"/>
          <w:szCs w:val="24"/>
          <w:lang w:eastAsia="uk-UA"/>
        </w:rPr>
      </w:pPr>
      <w:r w:rsidRPr="00CE67BA">
        <w:rPr>
          <w:rFonts w:eastAsia="Times New Roman"/>
          <w:bCs/>
          <w:sz w:val="24"/>
          <w:szCs w:val="24"/>
          <w:lang w:eastAsia="uk-UA"/>
        </w:rPr>
        <w:t>Витрати – це зменшення економічних вигід протягом облікового періоду у вигляді вибуття чи амортизації активів або у вигляді виникнення зобов’язань, результатом чого є зменшення чистих активів, за винятком зменшення, пов’язаного з виплатами учасникам.</w:t>
      </w:r>
    </w:p>
    <w:p w:rsidR="00CE67BA" w:rsidRPr="00CE67BA" w:rsidRDefault="00CE67BA" w:rsidP="00CE67BA">
      <w:pPr>
        <w:pStyle w:val="3"/>
        <w:numPr>
          <w:ilvl w:val="0"/>
          <w:numId w:val="28"/>
        </w:numPr>
        <w:ind w:left="927"/>
        <w:rPr>
          <w:rFonts w:eastAsia="Times New Roman"/>
          <w:bCs/>
          <w:sz w:val="24"/>
          <w:szCs w:val="24"/>
          <w:lang w:eastAsia="uk-UA"/>
        </w:rPr>
      </w:pPr>
      <w:r w:rsidRPr="00CE67BA">
        <w:rPr>
          <w:rFonts w:eastAsia="Times New Roman"/>
          <w:bCs/>
          <w:sz w:val="24"/>
          <w:szCs w:val="24"/>
          <w:lang w:eastAsia="uk-UA"/>
        </w:rPr>
        <w:t>Витрати визнаються у звіті про прибутки та збитки за умови відповідності визначенню та одночасно з визнанням збільшення зобов’язань або зменшення активів.</w:t>
      </w:r>
    </w:p>
    <w:p w:rsidR="00CE67BA" w:rsidRPr="00CE67BA" w:rsidRDefault="00CE67BA" w:rsidP="00CE67BA">
      <w:pPr>
        <w:pStyle w:val="3"/>
        <w:numPr>
          <w:ilvl w:val="0"/>
          <w:numId w:val="28"/>
        </w:numPr>
        <w:ind w:left="927"/>
        <w:rPr>
          <w:rFonts w:eastAsia="Times New Roman"/>
          <w:bCs/>
          <w:sz w:val="24"/>
          <w:szCs w:val="24"/>
          <w:lang w:eastAsia="uk-UA"/>
        </w:rPr>
      </w:pPr>
      <w:r w:rsidRPr="00CE67BA">
        <w:rPr>
          <w:rFonts w:eastAsia="Times New Roman"/>
          <w:bCs/>
          <w:sz w:val="24"/>
          <w:szCs w:val="24"/>
          <w:lang w:eastAsia="uk-UA"/>
        </w:rPr>
        <w:t xml:space="preserve">Витрати визнаються у звіті про прибутки та збитки, коли видатки не надають майбутніх економічних вигід або тоді та тією мірою, якою майбутні економічні вигоди не відповідають або перестають відповідати визнанню як активу у звіті </w:t>
      </w:r>
      <w:r w:rsidRPr="00CE67BA">
        <w:rPr>
          <w:rFonts w:eastAsia="Times New Roman"/>
          <w:bCs/>
          <w:sz w:val="24"/>
          <w:szCs w:val="24"/>
          <w:lang w:eastAsia="uk-UA"/>
        </w:rPr>
        <w:lastRenderedPageBreak/>
        <w:t>про фінансовий стан.</w:t>
      </w:r>
    </w:p>
    <w:p w:rsidR="00267EFD" w:rsidRPr="00CE67BA" w:rsidRDefault="00267EFD" w:rsidP="00267EFD">
      <w:pPr>
        <w:pStyle w:val="3"/>
        <w:numPr>
          <w:ilvl w:val="0"/>
          <w:numId w:val="28"/>
        </w:numPr>
        <w:autoSpaceDE w:val="0"/>
        <w:autoSpaceDN w:val="0"/>
        <w:adjustRightInd w:val="0"/>
        <w:spacing w:line="240" w:lineRule="auto"/>
        <w:ind w:left="927"/>
        <w:rPr>
          <w:sz w:val="24"/>
          <w:szCs w:val="24"/>
          <w:lang w:eastAsia="uk-UA"/>
        </w:rPr>
      </w:pPr>
      <w:r w:rsidRPr="00CE67BA">
        <w:rPr>
          <w:rFonts w:eastAsia="Times New Roman"/>
          <w:bCs/>
          <w:sz w:val="24"/>
          <w:szCs w:val="24"/>
          <w:lang w:eastAsia="uk-UA"/>
        </w:rPr>
        <w:t>Витрати визнаються у звіті про прибутки та збитки також у тих випадках, коли виникають зобов’язання без визнання активу.</w:t>
      </w:r>
    </w:p>
    <w:p w:rsidR="00267EFD" w:rsidRPr="00CE67BA" w:rsidRDefault="00267EFD" w:rsidP="00267EFD">
      <w:pPr>
        <w:autoSpaceDE w:val="0"/>
        <w:autoSpaceDN w:val="0"/>
        <w:adjustRightInd w:val="0"/>
        <w:spacing w:line="240" w:lineRule="auto"/>
        <w:rPr>
          <w:sz w:val="24"/>
          <w:szCs w:val="24"/>
          <w:lang w:eastAsia="uk-UA"/>
        </w:rPr>
      </w:pPr>
    </w:p>
    <w:p w:rsidR="000A742D" w:rsidRPr="00CE67BA" w:rsidRDefault="006A11DB" w:rsidP="000A742D">
      <w:pPr>
        <w:widowControl/>
        <w:autoSpaceDE w:val="0"/>
        <w:autoSpaceDN w:val="0"/>
        <w:adjustRightInd w:val="0"/>
        <w:spacing w:line="240" w:lineRule="auto"/>
        <w:ind w:firstLine="0"/>
        <w:rPr>
          <w:sz w:val="24"/>
          <w:szCs w:val="24"/>
          <w:lang w:eastAsia="uk-UA"/>
        </w:rPr>
      </w:pPr>
      <w:r w:rsidRPr="00CE67BA">
        <w:rPr>
          <w:sz w:val="24"/>
          <w:szCs w:val="24"/>
          <w:lang w:eastAsia="uk-UA"/>
        </w:rPr>
        <w:t>Загальна сума витрат за 201</w:t>
      </w:r>
      <w:r w:rsidR="00D91C27" w:rsidRPr="00CE67BA">
        <w:rPr>
          <w:sz w:val="24"/>
          <w:szCs w:val="24"/>
          <w:lang w:eastAsia="uk-UA"/>
        </w:rPr>
        <w:t>6</w:t>
      </w:r>
      <w:r w:rsidRPr="00CE67BA">
        <w:rPr>
          <w:sz w:val="24"/>
          <w:szCs w:val="24"/>
          <w:lang w:eastAsia="uk-UA"/>
        </w:rPr>
        <w:t xml:space="preserve"> рік становила: </w:t>
      </w:r>
    </w:p>
    <w:p w:rsidR="000A742D" w:rsidRPr="00CE67BA" w:rsidRDefault="000A742D" w:rsidP="00F54C04">
      <w:pPr>
        <w:widowControl/>
        <w:autoSpaceDE w:val="0"/>
        <w:autoSpaceDN w:val="0"/>
        <w:adjustRightInd w:val="0"/>
        <w:spacing w:line="240" w:lineRule="auto"/>
        <w:ind w:left="567" w:firstLine="357"/>
        <w:jc w:val="left"/>
        <w:rPr>
          <w:sz w:val="24"/>
          <w:szCs w:val="24"/>
          <w:lang w:eastAsia="uk-UA"/>
        </w:rPr>
      </w:pPr>
      <w:proofErr w:type="spellStart"/>
      <w:r w:rsidRPr="00CE67BA">
        <w:rPr>
          <w:sz w:val="24"/>
          <w:szCs w:val="24"/>
          <w:lang w:eastAsia="uk-UA"/>
        </w:rPr>
        <w:t>-</w:t>
      </w:r>
      <w:r w:rsidR="006A11DB" w:rsidRPr="00CE67BA">
        <w:rPr>
          <w:sz w:val="24"/>
          <w:szCs w:val="24"/>
          <w:lang w:eastAsia="uk-UA"/>
        </w:rPr>
        <w:t>заробітна</w:t>
      </w:r>
      <w:proofErr w:type="spellEnd"/>
      <w:r w:rsidR="006A11DB" w:rsidRPr="00CE67BA">
        <w:rPr>
          <w:sz w:val="24"/>
          <w:szCs w:val="24"/>
          <w:lang w:eastAsia="uk-UA"/>
        </w:rPr>
        <w:t xml:space="preserve"> плата та пов’язані з нею відрахування – </w:t>
      </w:r>
      <w:r w:rsidR="00162B21" w:rsidRPr="00CE67BA">
        <w:rPr>
          <w:sz w:val="24"/>
          <w:szCs w:val="24"/>
          <w:lang w:eastAsia="uk-UA"/>
        </w:rPr>
        <w:t>3,0</w:t>
      </w:r>
      <w:r w:rsidR="006A11DB" w:rsidRPr="00CE67BA">
        <w:rPr>
          <w:sz w:val="24"/>
          <w:szCs w:val="24"/>
          <w:lang w:eastAsia="uk-UA"/>
        </w:rPr>
        <w:t xml:space="preserve"> тис. грн.</w:t>
      </w:r>
    </w:p>
    <w:p w:rsidR="006A11DB" w:rsidRPr="00CE67BA" w:rsidRDefault="000A742D" w:rsidP="00F54C04">
      <w:pPr>
        <w:widowControl/>
        <w:autoSpaceDE w:val="0"/>
        <w:autoSpaceDN w:val="0"/>
        <w:adjustRightInd w:val="0"/>
        <w:spacing w:line="240" w:lineRule="auto"/>
        <w:ind w:left="567" w:firstLine="357"/>
        <w:jc w:val="left"/>
        <w:rPr>
          <w:sz w:val="24"/>
          <w:szCs w:val="24"/>
          <w:lang w:eastAsia="uk-UA"/>
        </w:rPr>
      </w:pPr>
      <w:proofErr w:type="spellStart"/>
      <w:r w:rsidRPr="00CE67BA">
        <w:rPr>
          <w:sz w:val="24"/>
          <w:szCs w:val="24"/>
          <w:lang w:eastAsia="uk-UA"/>
        </w:rPr>
        <w:t>-</w:t>
      </w:r>
      <w:r w:rsidR="006A11DB" w:rsidRPr="00CE67BA">
        <w:rPr>
          <w:sz w:val="24"/>
          <w:szCs w:val="24"/>
          <w:lang w:eastAsia="uk-UA"/>
        </w:rPr>
        <w:t>оренда</w:t>
      </w:r>
      <w:proofErr w:type="spellEnd"/>
      <w:r w:rsidR="006A11DB" w:rsidRPr="00CE67BA">
        <w:rPr>
          <w:sz w:val="24"/>
          <w:szCs w:val="24"/>
          <w:lang w:eastAsia="uk-UA"/>
        </w:rPr>
        <w:t xml:space="preserve"> – </w:t>
      </w:r>
      <w:r w:rsidR="00162B21" w:rsidRPr="00CE67BA">
        <w:rPr>
          <w:sz w:val="24"/>
          <w:szCs w:val="24"/>
          <w:lang w:eastAsia="uk-UA"/>
        </w:rPr>
        <w:t>8,0</w:t>
      </w:r>
      <w:r w:rsidR="006A11DB" w:rsidRPr="00CE67BA">
        <w:rPr>
          <w:sz w:val="24"/>
          <w:szCs w:val="24"/>
          <w:lang w:eastAsia="uk-UA"/>
        </w:rPr>
        <w:t xml:space="preserve"> тис. грн.</w:t>
      </w:r>
    </w:p>
    <w:p w:rsidR="005E213E" w:rsidRPr="00CE67BA" w:rsidRDefault="006A11DB" w:rsidP="00F54C04">
      <w:pPr>
        <w:pStyle w:val="a3"/>
        <w:numPr>
          <w:ilvl w:val="0"/>
          <w:numId w:val="28"/>
        </w:numPr>
        <w:autoSpaceDE w:val="0"/>
        <w:autoSpaceDN w:val="0"/>
        <w:adjustRightInd w:val="0"/>
        <w:spacing w:after="0" w:line="240" w:lineRule="auto"/>
        <w:ind w:left="0" w:firstLine="357"/>
        <w:rPr>
          <w:rFonts w:eastAsia="Times New Roman"/>
          <w:sz w:val="24"/>
          <w:szCs w:val="24"/>
          <w:lang w:eastAsia="uk-UA"/>
        </w:rPr>
      </w:pPr>
      <w:r w:rsidRPr="00CE67BA">
        <w:rPr>
          <w:rFonts w:ascii="Times New Roman" w:hAnsi="Times New Roman"/>
          <w:sz w:val="24"/>
          <w:szCs w:val="24"/>
          <w:lang w:eastAsia="uk-UA"/>
        </w:rPr>
        <w:t xml:space="preserve">інші витрати -  </w:t>
      </w:r>
      <w:r w:rsidR="00A3719E" w:rsidRPr="00CE67BA">
        <w:rPr>
          <w:rFonts w:ascii="Times New Roman" w:hAnsi="Times New Roman"/>
          <w:sz w:val="24"/>
          <w:szCs w:val="24"/>
          <w:lang w:eastAsia="uk-UA"/>
        </w:rPr>
        <w:t>9</w:t>
      </w:r>
      <w:r w:rsidR="00162B21" w:rsidRPr="00CE67BA">
        <w:rPr>
          <w:rFonts w:ascii="Times New Roman" w:hAnsi="Times New Roman"/>
          <w:sz w:val="24"/>
          <w:szCs w:val="24"/>
          <w:lang w:eastAsia="uk-UA"/>
        </w:rPr>
        <w:t>,0</w:t>
      </w:r>
      <w:r w:rsidRPr="00CE67BA">
        <w:rPr>
          <w:rFonts w:ascii="Times New Roman" w:hAnsi="Times New Roman"/>
          <w:sz w:val="24"/>
          <w:szCs w:val="24"/>
          <w:lang w:eastAsia="uk-UA"/>
        </w:rPr>
        <w:t xml:space="preserve"> тис. грн.</w:t>
      </w:r>
    </w:p>
    <w:p w:rsidR="00AC256C" w:rsidRPr="00CE67BA" w:rsidRDefault="00AC256C" w:rsidP="009E4D75">
      <w:pPr>
        <w:pStyle w:val="a3"/>
        <w:autoSpaceDE w:val="0"/>
        <w:autoSpaceDN w:val="0"/>
        <w:adjustRightInd w:val="0"/>
        <w:spacing w:after="0" w:line="240" w:lineRule="auto"/>
        <w:rPr>
          <w:rFonts w:ascii="Times New Roman" w:hAnsi="Times New Roman"/>
          <w:b/>
          <w:sz w:val="28"/>
          <w:szCs w:val="28"/>
        </w:rPr>
      </w:pPr>
    </w:p>
    <w:tbl>
      <w:tblPr>
        <w:tblW w:w="0" w:type="auto"/>
        <w:tblCellMar>
          <w:left w:w="30" w:type="dxa"/>
          <w:right w:w="0" w:type="dxa"/>
        </w:tblCellMar>
        <w:tblLook w:val="04A0"/>
      </w:tblPr>
      <w:tblGrid>
        <w:gridCol w:w="622"/>
        <w:gridCol w:w="504"/>
        <w:gridCol w:w="607"/>
        <w:gridCol w:w="371"/>
        <w:gridCol w:w="415"/>
        <w:gridCol w:w="311"/>
        <w:gridCol w:w="326"/>
        <w:gridCol w:w="445"/>
        <w:gridCol w:w="119"/>
        <w:gridCol w:w="252"/>
        <w:gridCol w:w="356"/>
        <w:gridCol w:w="252"/>
        <w:gridCol w:w="533"/>
        <w:gridCol w:w="356"/>
        <w:gridCol w:w="364"/>
        <w:gridCol w:w="320"/>
        <w:gridCol w:w="317"/>
        <w:gridCol w:w="356"/>
        <w:gridCol w:w="291"/>
        <w:gridCol w:w="343"/>
        <w:gridCol w:w="252"/>
        <w:gridCol w:w="369"/>
        <w:gridCol w:w="317"/>
        <w:gridCol w:w="330"/>
        <w:gridCol w:w="239"/>
        <w:gridCol w:w="418"/>
      </w:tblGrid>
      <w:tr w:rsidR="00A345B9" w:rsidRPr="00CE67BA" w:rsidTr="009667FE">
        <w:trPr>
          <w:hidden/>
        </w:trPr>
        <w:tc>
          <w:tcPr>
            <w:tcW w:w="622"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504"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607"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71"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415"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11"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26"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445"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119"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533"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64"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20"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291"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43"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69"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330"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239"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c>
          <w:tcPr>
            <w:tcW w:w="418" w:type="dxa"/>
            <w:vAlign w:val="center"/>
            <w:hideMark/>
          </w:tcPr>
          <w:p w:rsidR="00A345B9" w:rsidRPr="00CE67BA" w:rsidRDefault="00A345B9" w:rsidP="00A345B9">
            <w:pPr>
              <w:widowControl/>
              <w:spacing w:line="240" w:lineRule="auto"/>
              <w:ind w:firstLine="0"/>
              <w:rPr>
                <w:rFonts w:ascii="Arial" w:eastAsia="Times New Roman" w:hAnsi="Arial" w:cs="Arial"/>
                <w:vanish/>
                <w:sz w:val="16"/>
                <w:szCs w:val="16"/>
                <w:lang w:val="ru-RU"/>
              </w:rPr>
            </w:pPr>
          </w:p>
        </w:tc>
      </w:tr>
    </w:tbl>
    <w:p w:rsidR="00AC256C" w:rsidRPr="00CE67BA" w:rsidRDefault="00E32E39" w:rsidP="00CE67BA">
      <w:pPr>
        <w:pStyle w:val="3"/>
        <w:ind w:left="0" w:firstLine="0"/>
        <w:rPr>
          <w:rFonts w:eastAsia="Times New Roman"/>
          <w:b/>
          <w:sz w:val="24"/>
          <w:szCs w:val="24"/>
          <w:lang w:eastAsia="uk-UA"/>
        </w:rPr>
      </w:pPr>
      <w:r w:rsidRPr="00CE67BA">
        <w:rPr>
          <w:rFonts w:eastAsia="Times New Roman"/>
          <w:sz w:val="24"/>
          <w:szCs w:val="24"/>
          <w:lang w:eastAsia="uk-UA"/>
        </w:rPr>
        <w:t xml:space="preserve"> </w:t>
      </w:r>
      <w:r w:rsidR="00CF029D" w:rsidRPr="00CE67BA">
        <w:rPr>
          <w:rFonts w:eastAsia="Times New Roman"/>
          <w:sz w:val="24"/>
          <w:szCs w:val="24"/>
          <w:lang w:eastAsia="uk-UA"/>
        </w:rPr>
        <w:tab/>
      </w:r>
      <w:r w:rsidR="00D60621" w:rsidRPr="00CE67BA">
        <w:rPr>
          <w:rFonts w:eastAsia="Times New Roman"/>
          <w:b/>
          <w:sz w:val="24"/>
          <w:szCs w:val="24"/>
          <w:lang w:eastAsia="uk-UA"/>
        </w:rPr>
        <w:t>14</w:t>
      </w:r>
      <w:r w:rsidR="00CF029D" w:rsidRPr="00CE67BA">
        <w:rPr>
          <w:rFonts w:eastAsia="Times New Roman"/>
          <w:b/>
          <w:sz w:val="24"/>
          <w:szCs w:val="24"/>
          <w:lang w:eastAsia="uk-UA"/>
        </w:rPr>
        <w:t>.</w:t>
      </w:r>
      <w:r w:rsidR="00AC256C" w:rsidRPr="00CE67BA">
        <w:rPr>
          <w:rFonts w:eastAsia="Times New Roman"/>
          <w:b/>
          <w:sz w:val="24"/>
          <w:szCs w:val="24"/>
          <w:lang w:eastAsia="uk-UA"/>
        </w:rPr>
        <w:t>Операції з пов’язаними сторонами.</w:t>
      </w:r>
    </w:p>
    <w:p w:rsidR="00AC256C" w:rsidRPr="00CE67BA" w:rsidRDefault="00AC256C" w:rsidP="00275253">
      <w:pPr>
        <w:widowControl/>
        <w:tabs>
          <w:tab w:val="left" w:pos="709"/>
        </w:tabs>
        <w:spacing w:line="240" w:lineRule="auto"/>
        <w:ind w:firstLine="0"/>
        <w:rPr>
          <w:rFonts w:eastAsia="Times New Roman"/>
          <w:sz w:val="24"/>
          <w:szCs w:val="24"/>
          <w:lang w:eastAsia="uk-UA"/>
        </w:rPr>
      </w:pPr>
      <w:bookmarkStart w:id="29" w:name="OLE_LINK30"/>
      <w:bookmarkStart w:id="30" w:name="OLE_LINK31"/>
      <w:bookmarkStart w:id="31" w:name="OLE_LINK32"/>
      <w:bookmarkStart w:id="32" w:name="OLE_LINK14"/>
      <w:bookmarkStart w:id="33" w:name="OLE_LINK15"/>
      <w:bookmarkEnd w:id="25"/>
      <w:bookmarkEnd w:id="26"/>
      <w:r w:rsidRPr="00CE67BA">
        <w:rPr>
          <w:rFonts w:eastAsia="Times New Roman"/>
          <w:sz w:val="24"/>
          <w:szCs w:val="24"/>
          <w:lang w:eastAsia="uk-UA"/>
        </w:rPr>
        <w:t>По</w:t>
      </w:r>
      <w:bookmarkStart w:id="34" w:name="OLE_LINK39"/>
      <w:bookmarkStart w:id="35" w:name="OLE_LINK40"/>
      <w:bookmarkStart w:id="36" w:name="OLE_LINK41"/>
      <w:r w:rsidRPr="00CE67BA">
        <w:rPr>
          <w:rFonts w:eastAsia="Times New Roman"/>
          <w:sz w:val="24"/>
          <w:szCs w:val="24"/>
          <w:lang w:eastAsia="uk-UA"/>
        </w:rPr>
        <w:t>в’я</w:t>
      </w:r>
      <w:bookmarkEnd w:id="29"/>
      <w:bookmarkEnd w:id="30"/>
      <w:bookmarkEnd w:id="31"/>
      <w:r w:rsidRPr="00CE67BA">
        <w:rPr>
          <w:rFonts w:eastAsia="Times New Roman"/>
          <w:sz w:val="24"/>
          <w:szCs w:val="24"/>
          <w:lang w:eastAsia="uk-UA"/>
        </w:rPr>
        <w:t>зан</w:t>
      </w:r>
      <w:bookmarkEnd w:id="34"/>
      <w:bookmarkEnd w:id="35"/>
      <w:bookmarkEnd w:id="36"/>
      <w:r w:rsidRPr="00CE67BA">
        <w:rPr>
          <w:rFonts w:eastAsia="Times New Roman"/>
          <w:sz w:val="24"/>
          <w:szCs w:val="24"/>
          <w:lang w:eastAsia="uk-UA"/>
        </w:rPr>
        <w:t>ими сторонами Товариства вважаються підприємства і фізичні особи, які прямо або опосередковано здійснюють контроль над Товариством або суттєво впливають на його діяльність, а також близькі чле</w:t>
      </w:r>
      <w:r w:rsidR="000834E8" w:rsidRPr="00CE67BA">
        <w:rPr>
          <w:rFonts w:eastAsia="Times New Roman"/>
          <w:sz w:val="24"/>
          <w:szCs w:val="24"/>
          <w:lang w:eastAsia="uk-UA"/>
        </w:rPr>
        <w:t>ни родини такої фізичної особи,а саме засновники :</w:t>
      </w:r>
    </w:p>
    <w:p w:rsidR="00AC256C" w:rsidRPr="00CE67BA" w:rsidRDefault="00FF6CF7" w:rsidP="00CE67BA">
      <w:pPr>
        <w:widowControl/>
        <w:spacing w:line="240" w:lineRule="auto"/>
        <w:ind w:firstLine="0"/>
        <w:rPr>
          <w:rFonts w:eastAsia="Times New Roman"/>
          <w:sz w:val="24"/>
          <w:szCs w:val="24"/>
          <w:lang w:eastAsia="uk-UA"/>
        </w:rPr>
      </w:pPr>
      <w:r w:rsidRPr="00CE67BA">
        <w:rPr>
          <w:iCs/>
          <w:snapToGrid w:val="0"/>
          <w:sz w:val="24"/>
          <w:szCs w:val="24"/>
        </w:rPr>
        <w:t>Рожков Володимир Леонідович</w:t>
      </w:r>
      <w:bookmarkEnd w:id="32"/>
      <w:bookmarkEnd w:id="33"/>
      <w:r w:rsidR="00D60621" w:rsidRPr="00CE67BA">
        <w:rPr>
          <w:iCs/>
          <w:snapToGrid w:val="0"/>
          <w:sz w:val="24"/>
          <w:szCs w:val="24"/>
        </w:rPr>
        <w:t xml:space="preserve"> та Директор Махота Сергій </w:t>
      </w:r>
      <w:proofErr w:type="spellStart"/>
      <w:r w:rsidR="00D60621" w:rsidRPr="00CE67BA">
        <w:rPr>
          <w:iCs/>
          <w:snapToGrid w:val="0"/>
          <w:sz w:val="24"/>
          <w:szCs w:val="24"/>
        </w:rPr>
        <w:t>Олександрович.</w:t>
      </w:r>
      <w:r w:rsidR="00AC256C" w:rsidRPr="00CE67BA">
        <w:rPr>
          <w:rFonts w:eastAsia="Times New Roman"/>
          <w:sz w:val="24"/>
          <w:szCs w:val="24"/>
          <w:lang w:eastAsia="uk-UA"/>
        </w:rPr>
        <w:t>У</w:t>
      </w:r>
      <w:proofErr w:type="spellEnd"/>
      <w:r w:rsidR="00AC256C" w:rsidRPr="00CE67BA">
        <w:rPr>
          <w:rFonts w:eastAsia="Times New Roman"/>
          <w:sz w:val="24"/>
          <w:szCs w:val="24"/>
          <w:lang w:eastAsia="uk-UA"/>
        </w:rPr>
        <w:t xml:space="preserve"> звітному періоді операції з пов’язаними особами відсутні.</w:t>
      </w:r>
    </w:p>
    <w:p w:rsidR="00BB195C" w:rsidRPr="00CE67BA" w:rsidRDefault="00D60621" w:rsidP="00BB195C">
      <w:pPr>
        <w:pStyle w:val="3"/>
        <w:ind w:left="0" w:firstLine="0"/>
        <w:rPr>
          <w:rFonts w:eastAsia="Times New Roman"/>
          <w:b/>
          <w:sz w:val="24"/>
          <w:szCs w:val="24"/>
          <w:lang w:eastAsia="uk-UA"/>
        </w:rPr>
      </w:pPr>
      <w:bookmarkStart w:id="37" w:name="_Toc443403440"/>
      <w:r w:rsidRPr="00CE67BA">
        <w:rPr>
          <w:rFonts w:eastAsia="Times New Roman"/>
          <w:b/>
          <w:sz w:val="24"/>
          <w:szCs w:val="24"/>
          <w:lang w:eastAsia="uk-UA"/>
        </w:rPr>
        <w:t>15</w:t>
      </w:r>
      <w:r w:rsidR="00BB195C" w:rsidRPr="00CE67BA">
        <w:rPr>
          <w:rFonts w:eastAsia="Times New Roman"/>
          <w:b/>
          <w:sz w:val="24"/>
          <w:szCs w:val="24"/>
          <w:lang w:eastAsia="uk-UA"/>
        </w:rPr>
        <w:t>. Ризики</w:t>
      </w:r>
      <w:bookmarkEnd w:id="37"/>
    </w:p>
    <w:p w:rsidR="00BB195C" w:rsidRPr="00CE67BA" w:rsidRDefault="00D60621" w:rsidP="00BB195C">
      <w:pPr>
        <w:pStyle w:val="3"/>
        <w:ind w:left="0" w:firstLine="0"/>
        <w:rPr>
          <w:rFonts w:eastAsia="Times New Roman"/>
          <w:b/>
          <w:sz w:val="24"/>
          <w:szCs w:val="24"/>
          <w:lang w:eastAsia="uk-UA"/>
        </w:rPr>
      </w:pPr>
      <w:r w:rsidRPr="00CE67BA">
        <w:rPr>
          <w:rFonts w:eastAsia="Times New Roman"/>
          <w:b/>
          <w:sz w:val="24"/>
          <w:szCs w:val="24"/>
          <w:lang w:eastAsia="uk-UA"/>
        </w:rPr>
        <w:t>15</w:t>
      </w:r>
      <w:r w:rsidR="00BB195C" w:rsidRPr="00CE67BA">
        <w:rPr>
          <w:rFonts w:eastAsia="Times New Roman"/>
          <w:b/>
          <w:sz w:val="24"/>
          <w:szCs w:val="24"/>
          <w:lang w:eastAsia="uk-UA"/>
        </w:rPr>
        <w:t>.1. Кредитний ризик</w:t>
      </w:r>
    </w:p>
    <w:p w:rsidR="00BB195C" w:rsidRPr="00CE67BA" w:rsidRDefault="00FF6CF7" w:rsidP="00BB195C">
      <w:pPr>
        <w:pStyle w:val="3"/>
        <w:ind w:left="0" w:firstLine="0"/>
        <w:rPr>
          <w:rFonts w:eastAsia="Times New Roman"/>
          <w:sz w:val="24"/>
          <w:szCs w:val="24"/>
          <w:lang w:eastAsia="uk-UA"/>
        </w:rPr>
      </w:pPr>
      <w:r w:rsidRPr="00CE67BA">
        <w:rPr>
          <w:rFonts w:eastAsia="Times New Roman"/>
          <w:sz w:val="24"/>
          <w:szCs w:val="24"/>
          <w:lang w:eastAsia="uk-UA"/>
        </w:rPr>
        <w:t>Товариство з обмеженою відповідальність «Фінансова Компанія «</w:t>
      </w:r>
      <w:proofErr w:type="spellStart"/>
      <w:r w:rsidRPr="00CE67BA">
        <w:rPr>
          <w:rFonts w:eastAsia="Times New Roman"/>
          <w:sz w:val="24"/>
          <w:szCs w:val="24"/>
          <w:lang w:eastAsia="uk-UA"/>
        </w:rPr>
        <w:t>Преміум</w:t>
      </w:r>
      <w:proofErr w:type="spellEnd"/>
      <w:r w:rsidRPr="00CE67BA">
        <w:rPr>
          <w:rFonts w:eastAsia="Times New Roman"/>
          <w:sz w:val="24"/>
          <w:szCs w:val="24"/>
          <w:lang w:eastAsia="uk-UA"/>
        </w:rPr>
        <w:t xml:space="preserve"> </w:t>
      </w:r>
      <w:proofErr w:type="spellStart"/>
      <w:r w:rsidRPr="00CE67BA">
        <w:rPr>
          <w:rFonts w:eastAsia="Times New Roman"/>
          <w:sz w:val="24"/>
          <w:szCs w:val="24"/>
          <w:lang w:eastAsia="uk-UA"/>
        </w:rPr>
        <w:t>Кепітал</w:t>
      </w:r>
      <w:proofErr w:type="spellEnd"/>
      <w:r w:rsidRPr="00CE67BA">
        <w:rPr>
          <w:rFonts w:eastAsia="Times New Roman"/>
          <w:sz w:val="24"/>
          <w:szCs w:val="24"/>
          <w:lang w:eastAsia="uk-UA"/>
        </w:rPr>
        <w:t xml:space="preserve"> Груп» </w:t>
      </w:r>
      <w:r w:rsidR="00BB195C" w:rsidRPr="00CE67BA">
        <w:rPr>
          <w:rFonts w:eastAsia="Times New Roman"/>
          <w:sz w:val="24"/>
          <w:szCs w:val="24"/>
          <w:lang w:eastAsia="uk-UA"/>
        </w:rPr>
        <w:t xml:space="preserve">усвідомлює, що діяльність Товариства пов’язана з ризиками і вартість чистих активів у мінливому ринковому середовищі може суттєво змінитись унаслідок впливу суб’єктивних та об’єктивних чинників, вірогідність і напрям впливу яких заздалегідь точно передбачити неможливо. До таких ризиків віднесено кредитний, ринковий та ризик ліквідності. Ринковий ризик включає валютний ризик, відсотковий та інший ціновий ризик. </w:t>
      </w:r>
    </w:p>
    <w:p w:rsidR="00BB195C" w:rsidRPr="00CE67BA" w:rsidRDefault="00BB195C" w:rsidP="00BB195C">
      <w:pPr>
        <w:pStyle w:val="3"/>
        <w:ind w:left="0" w:firstLine="0"/>
        <w:rPr>
          <w:rFonts w:eastAsia="Times New Roman"/>
          <w:sz w:val="24"/>
          <w:szCs w:val="24"/>
          <w:lang w:eastAsia="uk-UA"/>
        </w:rPr>
      </w:pPr>
      <w:r w:rsidRPr="00CE67BA">
        <w:rPr>
          <w:rFonts w:eastAsia="Times New Roman"/>
          <w:sz w:val="24"/>
          <w:szCs w:val="24"/>
          <w:lang w:eastAsia="uk-UA"/>
        </w:rPr>
        <w:t>Управління ризиками Товариством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BB195C" w:rsidRPr="00CE67BA" w:rsidRDefault="00BB195C" w:rsidP="00BB195C">
      <w:pPr>
        <w:pStyle w:val="3"/>
        <w:ind w:left="0" w:firstLine="0"/>
        <w:rPr>
          <w:rFonts w:eastAsia="Times New Roman"/>
          <w:sz w:val="24"/>
          <w:szCs w:val="24"/>
          <w:lang w:eastAsia="uk-UA"/>
        </w:rPr>
      </w:pPr>
      <w:r w:rsidRPr="00CE67BA">
        <w:rPr>
          <w:rFonts w:eastAsia="Times New Roman"/>
          <w:sz w:val="24"/>
          <w:szCs w:val="24"/>
          <w:lang w:eastAsia="uk-UA"/>
        </w:rPr>
        <w:t>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сторони. Кредитний ризик притаманний таким фінансовим інструментам, як поточні та депозитні рахунки в банках, облігації та дебіторська заборгованість.</w:t>
      </w:r>
    </w:p>
    <w:p w:rsidR="00BB195C" w:rsidRPr="00CE67BA" w:rsidRDefault="00BB195C" w:rsidP="00BB195C">
      <w:pPr>
        <w:pStyle w:val="3"/>
        <w:ind w:left="0" w:firstLine="0"/>
        <w:rPr>
          <w:rFonts w:eastAsia="Times New Roman"/>
          <w:sz w:val="24"/>
          <w:szCs w:val="24"/>
          <w:lang w:eastAsia="uk-UA"/>
        </w:rPr>
      </w:pPr>
      <w:r w:rsidRPr="00CE67BA">
        <w:rPr>
          <w:rFonts w:eastAsia="Times New Roman"/>
          <w:sz w:val="24"/>
          <w:szCs w:val="24"/>
          <w:lang w:eastAsia="uk-UA"/>
        </w:rPr>
        <w:t xml:space="preserve">Основним методом оцінки кредитних ризиків Товариства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w:t>
      </w:r>
    </w:p>
    <w:p w:rsidR="00BB195C" w:rsidRPr="00CE67BA" w:rsidRDefault="00BB195C" w:rsidP="00BB195C">
      <w:pPr>
        <w:widowControl/>
        <w:autoSpaceDE w:val="0"/>
        <w:autoSpaceDN w:val="0"/>
        <w:adjustRightInd w:val="0"/>
        <w:spacing w:line="259" w:lineRule="auto"/>
        <w:ind w:firstLine="0"/>
        <w:rPr>
          <w:sz w:val="24"/>
          <w:szCs w:val="24"/>
          <w:lang w:val="ru-RU"/>
        </w:rPr>
      </w:pPr>
      <w:r w:rsidRPr="00CE67BA">
        <w:rPr>
          <w:sz w:val="24"/>
          <w:szCs w:val="24"/>
          <w:lang w:val="ru-RU"/>
        </w:rPr>
        <w:t xml:space="preserve">Також Компанія піддається ризику того, що клієнт може не оплатити або не виконати свої зобов'язання в строк перед Компанією, що в результаті може призвести до фінансових збитків Компанії. Компанія веде жорсткий контроль своєї торгової дебіторської заборгованості. Торговельна дебіторська заборгованість Компанії по виданим позикам забезпечена заставним майном клієнтів, тому має низький кредитний ризик. </w:t>
      </w:r>
    </w:p>
    <w:p w:rsidR="00BB195C" w:rsidRPr="00CE67BA" w:rsidRDefault="00BB195C" w:rsidP="00BB195C">
      <w:pPr>
        <w:pStyle w:val="3"/>
        <w:spacing w:line="259" w:lineRule="auto"/>
        <w:ind w:left="0" w:firstLine="0"/>
        <w:rPr>
          <w:rFonts w:eastAsia="Times New Roman"/>
          <w:sz w:val="24"/>
          <w:szCs w:val="24"/>
          <w:lang w:eastAsia="uk-UA"/>
        </w:rPr>
      </w:pPr>
      <w:r w:rsidRPr="00CE67BA">
        <w:rPr>
          <w:sz w:val="24"/>
          <w:szCs w:val="24"/>
          <w:lang w:val="ru-RU"/>
        </w:rPr>
        <w:t>Балансова вартість іншої дебіторської заборгованості являє собою максимальний кредитний ризик</w:t>
      </w:r>
    </w:p>
    <w:p w:rsidR="00BB195C" w:rsidRPr="00CE67BA" w:rsidRDefault="00D60621" w:rsidP="00BB195C">
      <w:pPr>
        <w:pStyle w:val="3"/>
        <w:ind w:left="0" w:firstLine="0"/>
        <w:rPr>
          <w:rFonts w:eastAsia="Times New Roman"/>
          <w:b/>
          <w:sz w:val="24"/>
          <w:szCs w:val="24"/>
          <w:lang w:eastAsia="uk-UA"/>
        </w:rPr>
      </w:pPr>
      <w:r w:rsidRPr="00CE67BA">
        <w:rPr>
          <w:rFonts w:eastAsia="Times New Roman"/>
          <w:b/>
          <w:sz w:val="24"/>
          <w:szCs w:val="24"/>
          <w:lang w:eastAsia="uk-UA"/>
        </w:rPr>
        <w:t>15</w:t>
      </w:r>
      <w:r w:rsidR="00BB195C" w:rsidRPr="00CE67BA">
        <w:rPr>
          <w:rFonts w:eastAsia="Times New Roman"/>
          <w:b/>
          <w:sz w:val="24"/>
          <w:szCs w:val="24"/>
          <w:lang w:eastAsia="uk-UA"/>
        </w:rPr>
        <w:t>.2. Ринковий ризик</w:t>
      </w:r>
    </w:p>
    <w:p w:rsidR="00BB195C" w:rsidRPr="00CE67BA" w:rsidRDefault="00BB195C" w:rsidP="00BB195C">
      <w:pPr>
        <w:pStyle w:val="3"/>
        <w:ind w:left="0" w:firstLine="0"/>
        <w:rPr>
          <w:rFonts w:eastAsia="Times New Roman"/>
          <w:sz w:val="24"/>
          <w:szCs w:val="24"/>
          <w:lang w:eastAsia="uk-UA"/>
        </w:rPr>
      </w:pPr>
      <w:r w:rsidRPr="00CE67BA">
        <w:rPr>
          <w:rFonts w:eastAsia="Times New Roman"/>
          <w:b/>
          <w:sz w:val="24"/>
          <w:szCs w:val="24"/>
          <w:lang w:eastAsia="uk-UA"/>
        </w:rPr>
        <w:t>Ринковий ризик</w:t>
      </w:r>
      <w:r w:rsidRPr="00CE67BA">
        <w:rPr>
          <w:rFonts w:eastAsia="Times New Roman"/>
          <w:sz w:val="24"/>
          <w:szCs w:val="24"/>
          <w:lang w:eastAsia="uk-UA"/>
        </w:rPr>
        <w:t xml:space="preserve"> – 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та відсотковий. Ринковий ризик виникає у зв’язку з ризиками збитків, зумовлених коливаннями цін на акції, відсоткових ставок та валютних курсів. </w:t>
      </w:r>
    </w:p>
    <w:p w:rsidR="00BB195C" w:rsidRPr="00CE67BA" w:rsidRDefault="00BB195C" w:rsidP="00BB195C">
      <w:pPr>
        <w:pStyle w:val="3"/>
        <w:ind w:left="0" w:firstLine="0"/>
        <w:rPr>
          <w:rFonts w:eastAsia="Times New Roman"/>
          <w:sz w:val="24"/>
          <w:szCs w:val="24"/>
          <w:lang w:eastAsia="uk-UA"/>
        </w:rPr>
      </w:pPr>
      <w:r w:rsidRPr="00CE67BA">
        <w:rPr>
          <w:rFonts w:eastAsia="Times New Roman"/>
          <w:b/>
          <w:sz w:val="24"/>
          <w:szCs w:val="24"/>
          <w:lang w:eastAsia="uk-UA"/>
        </w:rPr>
        <w:lastRenderedPageBreak/>
        <w:t>Валютний ризик</w:t>
      </w:r>
      <w:r w:rsidRPr="00CE67BA">
        <w:rPr>
          <w:rFonts w:eastAsia="Times New Roman"/>
          <w:sz w:val="24"/>
          <w:szCs w:val="24"/>
          <w:lang w:eastAsia="uk-UA"/>
        </w:rPr>
        <w:t xml:space="preserve"> – це ризик того, що справедлива вартість або майбутні грошові потоки від фінансового інструменту коливатимуться внаслідок змін валютних курсів. Товариство піддається незначному валютному ризику у зв’язку з наявність грошових коштів у євро на поточному рахунку в іноземній валюті. Товариство може контролювати валютний ризик шляхом управління валютною політикою.</w:t>
      </w:r>
    </w:p>
    <w:p w:rsidR="00BB195C" w:rsidRPr="00CE67BA" w:rsidRDefault="00D60621" w:rsidP="00BB195C">
      <w:pPr>
        <w:pStyle w:val="3"/>
        <w:ind w:left="0" w:firstLine="0"/>
        <w:rPr>
          <w:rFonts w:eastAsia="Times New Roman"/>
          <w:b/>
          <w:sz w:val="24"/>
          <w:szCs w:val="24"/>
          <w:lang w:eastAsia="uk-UA"/>
        </w:rPr>
      </w:pPr>
      <w:r w:rsidRPr="00CE67BA">
        <w:rPr>
          <w:rFonts w:eastAsia="Times New Roman"/>
          <w:b/>
          <w:sz w:val="24"/>
          <w:szCs w:val="24"/>
          <w:lang w:eastAsia="uk-UA"/>
        </w:rPr>
        <w:t>15</w:t>
      </w:r>
      <w:r w:rsidR="00BB195C" w:rsidRPr="00CE67BA">
        <w:rPr>
          <w:rFonts w:eastAsia="Times New Roman"/>
          <w:b/>
          <w:sz w:val="24"/>
          <w:szCs w:val="24"/>
          <w:lang w:eastAsia="uk-UA"/>
        </w:rPr>
        <w:t>.3. Ризик ліквідності</w:t>
      </w:r>
    </w:p>
    <w:p w:rsidR="00BB195C" w:rsidRPr="00CE67BA" w:rsidRDefault="00BB195C" w:rsidP="00BB195C">
      <w:pPr>
        <w:pStyle w:val="3"/>
        <w:ind w:left="0" w:firstLine="0"/>
        <w:rPr>
          <w:rFonts w:eastAsia="Times New Roman"/>
          <w:sz w:val="24"/>
          <w:szCs w:val="24"/>
          <w:lang w:eastAsia="uk-UA"/>
        </w:rPr>
      </w:pPr>
      <w:r w:rsidRPr="00CE67BA">
        <w:rPr>
          <w:rFonts w:eastAsia="Times New Roman"/>
          <w:sz w:val="24"/>
          <w:szCs w:val="24"/>
          <w:lang w:eastAsia="uk-UA"/>
        </w:rPr>
        <w:t xml:space="preserve">Ризик ліквідності – ризик того, що суб'єкт господарювання матиме труднощі в ході виконання зобов'язань, пов'язаних із фінансовими зобов'язаннями, що погашаються шляхом поставки грошових коштів або іншого фінансового активу. Товариство з </w:t>
      </w:r>
      <w:proofErr w:type="spellStart"/>
      <w:r w:rsidRPr="00CE67BA">
        <w:rPr>
          <w:rFonts w:eastAsia="Times New Roman"/>
          <w:sz w:val="24"/>
          <w:szCs w:val="24"/>
          <w:lang w:eastAsia="uk-UA"/>
        </w:rPr>
        <w:t>обмеженною</w:t>
      </w:r>
      <w:proofErr w:type="spellEnd"/>
      <w:r w:rsidRPr="00CE67BA">
        <w:rPr>
          <w:rFonts w:eastAsia="Times New Roman"/>
          <w:sz w:val="24"/>
          <w:szCs w:val="24"/>
          <w:lang w:eastAsia="uk-UA"/>
        </w:rPr>
        <w:t xml:space="preserve"> відповідальністю </w:t>
      </w:r>
      <w:r w:rsidR="00FF6CF7" w:rsidRPr="00CE67BA">
        <w:rPr>
          <w:rFonts w:eastAsia="Times New Roman"/>
          <w:sz w:val="24"/>
          <w:szCs w:val="24"/>
          <w:lang w:eastAsia="uk-UA"/>
        </w:rPr>
        <w:t>«Фінансова Компанія «</w:t>
      </w:r>
      <w:proofErr w:type="spellStart"/>
      <w:r w:rsidR="00FF6CF7" w:rsidRPr="00CE67BA">
        <w:rPr>
          <w:rFonts w:eastAsia="Times New Roman"/>
          <w:sz w:val="24"/>
          <w:szCs w:val="24"/>
          <w:lang w:eastAsia="uk-UA"/>
        </w:rPr>
        <w:t>Преміум</w:t>
      </w:r>
      <w:proofErr w:type="spellEnd"/>
      <w:r w:rsidR="00FF6CF7" w:rsidRPr="00CE67BA">
        <w:rPr>
          <w:rFonts w:eastAsia="Times New Roman"/>
          <w:sz w:val="24"/>
          <w:szCs w:val="24"/>
          <w:lang w:eastAsia="uk-UA"/>
        </w:rPr>
        <w:t xml:space="preserve"> </w:t>
      </w:r>
      <w:proofErr w:type="spellStart"/>
      <w:r w:rsidR="00FF6CF7" w:rsidRPr="00CE67BA">
        <w:rPr>
          <w:rFonts w:eastAsia="Times New Roman"/>
          <w:sz w:val="24"/>
          <w:szCs w:val="24"/>
          <w:lang w:eastAsia="uk-UA"/>
        </w:rPr>
        <w:t>Кепітал</w:t>
      </w:r>
      <w:proofErr w:type="spellEnd"/>
      <w:r w:rsidR="00FF6CF7" w:rsidRPr="00CE67BA">
        <w:rPr>
          <w:rFonts w:eastAsia="Times New Roman"/>
          <w:sz w:val="24"/>
          <w:szCs w:val="24"/>
          <w:lang w:eastAsia="uk-UA"/>
        </w:rPr>
        <w:t xml:space="preserve"> Груп» </w:t>
      </w:r>
      <w:r w:rsidRPr="00CE67BA">
        <w:rPr>
          <w:rFonts w:eastAsia="Times New Roman"/>
          <w:sz w:val="24"/>
          <w:szCs w:val="24"/>
          <w:lang w:eastAsia="uk-UA"/>
        </w:rPr>
        <w:t xml:space="preserve">не наражається на значні ризики ліквідності, оскільки його зобов’язання перед учасниками обмежуються наявними високоліквідними активами. </w:t>
      </w:r>
    </w:p>
    <w:p w:rsidR="00BB195C" w:rsidRPr="00CE67BA" w:rsidRDefault="00BB195C" w:rsidP="00BB195C">
      <w:pPr>
        <w:widowControl/>
        <w:spacing w:line="240" w:lineRule="auto"/>
        <w:ind w:firstLine="0"/>
        <w:rPr>
          <w:rFonts w:eastAsia="Times New Roman"/>
          <w:b/>
          <w:sz w:val="24"/>
          <w:szCs w:val="24"/>
          <w:lang w:eastAsia="uk-UA"/>
        </w:rPr>
      </w:pPr>
      <w:r w:rsidRPr="00CE67BA">
        <w:rPr>
          <w:rFonts w:eastAsia="Times New Roman"/>
          <w:b/>
          <w:sz w:val="24"/>
          <w:szCs w:val="24"/>
          <w:lang w:eastAsia="uk-UA"/>
        </w:rPr>
        <w:t>Зобов'язання за операційною орендою - Товариство у якості орендаря</w:t>
      </w:r>
    </w:p>
    <w:p w:rsidR="00BB195C" w:rsidRPr="00CE67BA" w:rsidRDefault="00BB195C" w:rsidP="00BB195C">
      <w:pPr>
        <w:widowControl/>
        <w:spacing w:line="240" w:lineRule="auto"/>
        <w:ind w:firstLine="0"/>
        <w:rPr>
          <w:rFonts w:eastAsia="Times New Roman"/>
          <w:sz w:val="24"/>
          <w:szCs w:val="24"/>
          <w:lang w:eastAsia="uk-UA"/>
        </w:rPr>
      </w:pPr>
      <w:r w:rsidRPr="00CE67BA">
        <w:rPr>
          <w:rFonts w:eastAsia="Times New Roman"/>
          <w:sz w:val="24"/>
          <w:szCs w:val="24"/>
          <w:lang w:eastAsia="uk-UA"/>
        </w:rPr>
        <w:t>Товариство уклало угоди оренди приміщень. Строк договору оренди становить два роки одинадцять місяців.</w:t>
      </w:r>
    </w:p>
    <w:p w:rsidR="00BB195C" w:rsidRPr="00CE67BA" w:rsidRDefault="00BB195C" w:rsidP="00BB195C">
      <w:pPr>
        <w:widowControl/>
        <w:spacing w:line="240" w:lineRule="auto"/>
        <w:ind w:firstLine="0"/>
        <w:rPr>
          <w:rFonts w:eastAsia="Times New Roman"/>
          <w:b/>
          <w:sz w:val="24"/>
          <w:szCs w:val="24"/>
          <w:lang w:eastAsia="uk-UA"/>
        </w:rPr>
      </w:pPr>
      <w:r w:rsidRPr="00CE67BA">
        <w:rPr>
          <w:rFonts w:eastAsia="Times New Roman"/>
          <w:b/>
          <w:sz w:val="24"/>
          <w:szCs w:val="24"/>
          <w:lang w:eastAsia="uk-UA"/>
        </w:rPr>
        <w:t>Юридичні питання</w:t>
      </w:r>
    </w:p>
    <w:p w:rsidR="00BB195C" w:rsidRPr="00CE67BA" w:rsidRDefault="00BB195C" w:rsidP="00BB195C">
      <w:pPr>
        <w:widowControl/>
        <w:spacing w:line="240" w:lineRule="auto"/>
        <w:ind w:firstLine="0"/>
        <w:rPr>
          <w:rFonts w:eastAsia="Times New Roman"/>
          <w:sz w:val="24"/>
          <w:szCs w:val="24"/>
          <w:lang w:eastAsia="uk-UA"/>
        </w:rPr>
      </w:pPr>
      <w:r w:rsidRPr="00CE67BA">
        <w:rPr>
          <w:rFonts w:eastAsia="Times New Roman"/>
          <w:sz w:val="24"/>
          <w:szCs w:val="24"/>
          <w:lang w:eastAsia="uk-UA"/>
        </w:rPr>
        <w:t>В ході звичайної господарської діяльності Товариство виступає в якості відповідача за окремими судовими позовами та претензіями. Керівництво вважає, що максимальна відповідальність по зобов'язаннях, у разі їх виникнення, внаслідок таких позовів або претензій, не буде мати суттєвого негативного впливу на фінансовий стан або результати майбутніх операцій Товариство.</w:t>
      </w:r>
    </w:p>
    <w:p w:rsidR="00BB195C" w:rsidRPr="00CE67BA" w:rsidRDefault="00BB195C" w:rsidP="00BB195C">
      <w:pPr>
        <w:widowControl/>
        <w:spacing w:line="240" w:lineRule="auto"/>
        <w:ind w:firstLine="0"/>
        <w:rPr>
          <w:rFonts w:eastAsia="Times New Roman"/>
          <w:b/>
          <w:sz w:val="24"/>
          <w:szCs w:val="24"/>
          <w:lang w:eastAsia="uk-UA"/>
        </w:rPr>
      </w:pPr>
      <w:r w:rsidRPr="00CE67BA">
        <w:rPr>
          <w:rFonts w:eastAsia="Times New Roman"/>
          <w:b/>
          <w:sz w:val="24"/>
          <w:szCs w:val="24"/>
          <w:lang w:eastAsia="uk-UA"/>
        </w:rPr>
        <w:t>Податкові та регулятивні ризики</w:t>
      </w:r>
    </w:p>
    <w:p w:rsidR="00BB195C" w:rsidRPr="00CE67BA" w:rsidRDefault="00BB195C" w:rsidP="00BB195C">
      <w:pPr>
        <w:widowControl/>
        <w:spacing w:line="240" w:lineRule="auto"/>
        <w:ind w:firstLine="0"/>
        <w:rPr>
          <w:rFonts w:eastAsia="Times New Roman"/>
          <w:sz w:val="24"/>
          <w:szCs w:val="24"/>
          <w:lang w:eastAsia="uk-UA"/>
        </w:rPr>
      </w:pPr>
      <w:r w:rsidRPr="00CE67BA">
        <w:rPr>
          <w:rFonts w:eastAsia="Times New Roman"/>
          <w:sz w:val="24"/>
          <w:szCs w:val="24"/>
          <w:lang w:eastAsia="uk-UA"/>
        </w:rPr>
        <w:t xml:space="preserve">Українське законодавство щодо оподаткування та регулювання інших аспектів операційної діяльності, включаючи валютний та митний контроль, продовжує розвиватися. Ряд прийнятих законодавчих та нормативних актів не завжди чітко сформульовані, а їх інтерпретація залежить від точки зору місцевих, обласних і центральних органів державної влади та інших державних: органів. Нерідко точки зору різних органів на певні питання відрізняються. Керівництво вважає, що Товариство дотримувалось всіх нормативних положень, і всі передбачені законодавством податки були сплачені або нараховані у фінансовій звітності. </w:t>
      </w:r>
    </w:p>
    <w:p w:rsidR="00AC256C" w:rsidRPr="00CE67BA" w:rsidRDefault="00AC256C" w:rsidP="00275253">
      <w:pPr>
        <w:widowControl/>
        <w:spacing w:line="240" w:lineRule="auto"/>
        <w:ind w:firstLine="0"/>
        <w:rPr>
          <w:rFonts w:eastAsia="Times New Roman"/>
          <w:sz w:val="24"/>
          <w:szCs w:val="24"/>
          <w:lang w:eastAsia="uk-UA"/>
        </w:rPr>
      </w:pPr>
    </w:p>
    <w:bookmarkEnd w:id="27"/>
    <w:bookmarkEnd w:id="28"/>
    <w:p w:rsidR="00AC256C" w:rsidRPr="00CE67BA" w:rsidRDefault="00CF029D" w:rsidP="00275253">
      <w:pPr>
        <w:widowControl/>
        <w:tabs>
          <w:tab w:val="left" w:pos="709"/>
        </w:tabs>
        <w:spacing w:line="240" w:lineRule="auto"/>
        <w:ind w:firstLine="0"/>
        <w:rPr>
          <w:rFonts w:eastAsia="Times New Roman"/>
          <w:b/>
          <w:sz w:val="24"/>
          <w:szCs w:val="24"/>
          <w:lang w:eastAsia="uk-UA"/>
        </w:rPr>
      </w:pPr>
      <w:r w:rsidRPr="00CE67BA">
        <w:rPr>
          <w:rFonts w:eastAsia="Times New Roman"/>
          <w:b/>
          <w:sz w:val="24"/>
          <w:szCs w:val="24"/>
          <w:lang w:eastAsia="uk-UA"/>
        </w:rPr>
        <w:tab/>
      </w:r>
      <w:r w:rsidR="00D60621" w:rsidRPr="00CE67BA">
        <w:rPr>
          <w:rFonts w:eastAsia="Times New Roman"/>
          <w:b/>
          <w:sz w:val="24"/>
          <w:szCs w:val="24"/>
          <w:lang w:eastAsia="uk-UA"/>
        </w:rPr>
        <w:t>16</w:t>
      </w:r>
      <w:r w:rsidRPr="00CE67BA">
        <w:rPr>
          <w:rFonts w:eastAsia="Times New Roman"/>
          <w:b/>
          <w:sz w:val="24"/>
          <w:szCs w:val="24"/>
          <w:lang w:eastAsia="uk-UA"/>
        </w:rPr>
        <w:t xml:space="preserve">. </w:t>
      </w:r>
      <w:r w:rsidR="00AC256C" w:rsidRPr="00CE67BA">
        <w:rPr>
          <w:rFonts w:eastAsia="Times New Roman"/>
          <w:b/>
          <w:sz w:val="24"/>
          <w:szCs w:val="24"/>
          <w:lang w:eastAsia="uk-UA"/>
        </w:rPr>
        <w:t>Події після дати балансу.</w:t>
      </w:r>
    </w:p>
    <w:p w:rsidR="00AC256C" w:rsidRPr="00CE67BA" w:rsidRDefault="00AC256C" w:rsidP="00275253">
      <w:pPr>
        <w:widowControl/>
        <w:tabs>
          <w:tab w:val="left" w:pos="709"/>
        </w:tabs>
        <w:spacing w:line="240" w:lineRule="auto"/>
        <w:ind w:firstLine="0"/>
        <w:rPr>
          <w:rFonts w:eastAsia="Times New Roman"/>
          <w:sz w:val="24"/>
          <w:szCs w:val="24"/>
          <w:lang w:eastAsia="uk-UA"/>
        </w:rPr>
      </w:pPr>
      <w:r w:rsidRPr="00CE67BA">
        <w:rPr>
          <w:rFonts w:eastAsia="Times New Roman"/>
          <w:sz w:val="24"/>
          <w:szCs w:val="24"/>
          <w:lang w:eastAsia="uk-UA"/>
        </w:rPr>
        <w:t>Події після дати балансу, які могли б вплинути на фінансовий стан, результати діяльності та рух коштів Товариства, та які відповідно до Міжнародних стандартів фінансової звітності Товариство повинно було розкрити, не відбувалися.</w:t>
      </w:r>
    </w:p>
    <w:p w:rsidR="00CF029D" w:rsidRPr="00CE67BA" w:rsidRDefault="00CF029D" w:rsidP="00275253">
      <w:pPr>
        <w:widowControl/>
        <w:tabs>
          <w:tab w:val="left" w:pos="709"/>
        </w:tabs>
        <w:spacing w:line="240" w:lineRule="auto"/>
        <w:ind w:firstLine="0"/>
        <w:rPr>
          <w:rFonts w:eastAsia="Times New Roman"/>
          <w:sz w:val="24"/>
          <w:szCs w:val="24"/>
          <w:lang w:eastAsia="uk-UA"/>
        </w:rPr>
      </w:pPr>
    </w:p>
    <w:p w:rsidR="00CF029D" w:rsidRPr="00CE67BA" w:rsidRDefault="00CF029D" w:rsidP="00275253">
      <w:pPr>
        <w:widowControl/>
        <w:tabs>
          <w:tab w:val="left" w:pos="709"/>
        </w:tabs>
        <w:spacing w:line="240" w:lineRule="auto"/>
        <w:ind w:firstLine="0"/>
        <w:rPr>
          <w:rFonts w:eastAsia="Times New Roman"/>
          <w:sz w:val="24"/>
          <w:szCs w:val="24"/>
          <w:lang w:eastAsia="uk-UA"/>
        </w:rPr>
      </w:pPr>
    </w:p>
    <w:p w:rsidR="00CF029D" w:rsidRPr="00CE67BA" w:rsidRDefault="00CF029D" w:rsidP="00275253">
      <w:pPr>
        <w:widowControl/>
        <w:tabs>
          <w:tab w:val="left" w:pos="709"/>
        </w:tabs>
        <w:spacing w:line="240" w:lineRule="auto"/>
        <w:ind w:firstLine="0"/>
        <w:rPr>
          <w:rFonts w:eastAsia="Times New Roman"/>
          <w:sz w:val="24"/>
          <w:szCs w:val="24"/>
          <w:lang w:eastAsia="uk-UA"/>
        </w:rPr>
      </w:pPr>
    </w:p>
    <w:p w:rsidR="00CF029D" w:rsidRPr="00CE67BA" w:rsidRDefault="00CF029D" w:rsidP="00275253">
      <w:pPr>
        <w:widowControl/>
        <w:tabs>
          <w:tab w:val="left" w:pos="709"/>
        </w:tabs>
        <w:spacing w:line="240" w:lineRule="auto"/>
        <w:ind w:firstLine="0"/>
        <w:rPr>
          <w:rFonts w:eastAsia="Times New Roman"/>
          <w:sz w:val="24"/>
          <w:szCs w:val="24"/>
          <w:lang w:eastAsia="uk-UA"/>
        </w:rPr>
      </w:pPr>
    </w:p>
    <w:p w:rsidR="005716FB" w:rsidRPr="00CE67BA" w:rsidRDefault="005716FB" w:rsidP="005716FB">
      <w:pPr>
        <w:spacing w:before="240"/>
        <w:rPr>
          <w:rFonts w:eastAsia="Times New Roman"/>
          <w:sz w:val="24"/>
          <w:szCs w:val="24"/>
          <w:lang w:val="ru-RU" w:eastAsia="uk-UA"/>
        </w:rPr>
      </w:pPr>
      <w:r w:rsidRPr="00CE67BA">
        <w:rPr>
          <w:rFonts w:eastAsia="Times New Roman"/>
          <w:sz w:val="24"/>
          <w:szCs w:val="24"/>
          <w:lang w:eastAsia="uk-UA"/>
        </w:rPr>
        <w:t>Директор</w:t>
      </w:r>
      <w:r w:rsidR="00D60621" w:rsidRPr="00CE67BA">
        <w:rPr>
          <w:rFonts w:eastAsia="Times New Roman"/>
          <w:sz w:val="24"/>
          <w:szCs w:val="24"/>
          <w:lang w:eastAsia="uk-UA"/>
        </w:rPr>
        <w:t xml:space="preserve">                            </w:t>
      </w:r>
      <w:r w:rsidRPr="00CE67BA">
        <w:rPr>
          <w:rFonts w:eastAsia="Times New Roman"/>
          <w:sz w:val="24"/>
          <w:szCs w:val="24"/>
          <w:lang w:eastAsia="uk-UA"/>
        </w:rPr>
        <w:t>__________________</w:t>
      </w:r>
      <w:r w:rsidRPr="00CE67BA">
        <w:rPr>
          <w:rFonts w:eastAsia="Times New Roman"/>
          <w:sz w:val="24"/>
          <w:szCs w:val="24"/>
          <w:lang w:eastAsia="uk-UA"/>
        </w:rPr>
        <w:tab/>
      </w:r>
      <w:r w:rsidRPr="00CE67BA">
        <w:rPr>
          <w:rFonts w:eastAsia="Times New Roman"/>
          <w:sz w:val="24"/>
          <w:szCs w:val="24"/>
          <w:lang w:eastAsia="uk-UA"/>
        </w:rPr>
        <w:tab/>
      </w:r>
      <w:r w:rsidR="00FF6CF7" w:rsidRPr="00CE67BA">
        <w:rPr>
          <w:rFonts w:eastAsia="Times New Roman"/>
          <w:sz w:val="24"/>
          <w:szCs w:val="24"/>
          <w:lang w:eastAsia="uk-UA"/>
        </w:rPr>
        <w:t>Махота С.О.</w:t>
      </w:r>
    </w:p>
    <w:p w:rsidR="005716FB" w:rsidRPr="00CE67BA" w:rsidRDefault="005716FB" w:rsidP="005716FB">
      <w:pPr>
        <w:spacing w:before="240" w:line="120" w:lineRule="auto"/>
        <w:rPr>
          <w:rFonts w:eastAsia="Times New Roman"/>
          <w:sz w:val="24"/>
          <w:szCs w:val="24"/>
          <w:lang w:val="ru-RU" w:eastAsia="uk-UA"/>
        </w:rPr>
      </w:pPr>
      <w:r w:rsidRPr="00CE67BA">
        <w:rPr>
          <w:rFonts w:eastAsia="Times New Roman"/>
          <w:sz w:val="24"/>
          <w:szCs w:val="24"/>
          <w:lang w:eastAsia="uk-UA"/>
        </w:rPr>
        <w:t xml:space="preserve">                                                       (підпис)</w:t>
      </w:r>
    </w:p>
    <w:p w:rsidR="00BF7F5E" w:rsidRPr="00CE67BA" w:rsidRDefault="00BF7F5E" w:rsidP="005716FB">
      <w:pPr>
        <w:spacing w:before="240" w:line="120" w:lineRule="auto"/>
        <w:rPr>
          <w:rFonts w:eastAsia="Times New Roman"/>
          <w:sz w:val="24"/>
          <w:szCs w:val="24"/>
          <w:lang w:val="ru-RU" w:eastAsia="uk-UA"/>
        </w:rPr>
      </w:pPr>
    </w:p>
    <w:p w:rsidR="00BF7F5E" w:rsidRPr="00CE67BA" w:rsidRDefault="00BF7F5E" w:rsidP="00BF7F5E">
      <w:pPr>
        <w:spacing w:before="240"/>
        <w:rPr>
          <w:rFonts w:eastAsia="Times New Roman"/>
          <w:sz w:val="24"/>
          <w:szCs w:val="24"/>
          <w:lang w:val="ru-RU" w:eastAsia="uk-UA"/>
        </w:rPr>
      </w:pPr>
      <w:r w:rsidRPr="00CE67BA">
        <w:rPr>
          <w:rFonts w:eastAsia="Times New Roman"/>
          <w:sz w:val="24"/>
          <w:szCs w:val="24"/>
          <w:lang w:eastAsia="uk-UA"/>
        </w:rPr>
        <w:t>Головний бухгалтер        __________________</w:t>
      </w:r>
      <w:r w:rsidRPr="00CE67BA">
        <w:rPr>
          <w:rFonts w:eastAsia="Times New Roman"/>
          <w:sz w:val="24"/>
          <w:szCs w:val="24"/>
          <w:lang w:eastAsia="uk-UA"/>
        </w:rPr>
        <w:tab/>
      </w:r>
      <w:r w:rsidRPr="00CE67BA">
        <w:rPr>
          <w:rFonts w:eastAsia="Times New Roman"/>
          <w:sz w:val="24"/>
          <w:szCs w:val="24"/>
          <w:lang w:eastAsia="uk-UA"/>
        </w:rPr>
        <w:tab/>
      </w:r>
      <w:proofErr w:type="spellStart"/>
      <w:r w:rsidRPr="00CE67BA">
        <w:rPr>
          <w:rFonts w:eastAsia="Times New Roman"/>
          <w:sz w:val="24"/>
          <w:szCs w:val="24"/>
          <w:lang w:eastAsia="uk-UA"/>
        </w:rPr>
        <w:t>ФОП</w:t>
      </w:r>
      <w:proofErr w:type="spellEnd"/>
      <w:r w:rsidRPr="00CE67BA">
        <w:rPr>
          <w:rFonts w:eastAsia="Times New Roman"/>
          <w:sz w:val="24"/>
          <w:szCs w:val="24"/>
          <w:lang w:eastAsia="uk-UA"/>
        </w:rPr>
        <w:t xml:space="preserve"> Базяк І.М..</w:t>
      </w:r>
    </w:p>
    <w:p w:rsidR="00BF7F5E" w:rsidRPr="00CE67BA" w:rsidRDefault="00BF7F5E" w:rsidP="00BF7F5E">
      <w:pPr>
        <w:spacing w:before="240" w:line="120" w:lineRule="auto"/>
        <w:rPr>
          <w:rFonts w:eastAsia="Times New Roman"/>
          <w:sz w:val="24"/>
          <w:szCs w:val="24"/>
          <w:lang w:val="ru-RU" w:eastAsia="uk-UA"/>
        </w:rPr>
      </w:pPr>
      <w:r w:rsidRPr="00CE67BA">
        <w:rPr>
          <w:rFonts w:eastAsia="Times New Roman"/>
          <w:sz w:val="24"/>
          <w:szCs w:val="24"/>
          <w:lang w:eastAsia="uk-UA"/>
        </w:rPr>
        <w:t xml:space="preserve">                                                       (підпис)</w:t>
      </w:r>
    </w:p>
    <w:p w:rsidR="00BF7F5E" w:rsidRPr="00CE67BA" w:rsidRDefault="00BF7F5E" w:rsidP="005716FB">
      <w:pPr>
        <w:spacing w:before="240" w:line="120" w:lineRule="auto"/>
        <w:rPr>
          <w:rFonts w:eastAsia="Times New Roman"/>
          <w:sz w:val="24"/>
          <w:szCs w:val="24"/>
          <w:lang w:eastAsia="uk-UA"/>
        </w:rPr>
      </w:pPr>
      <w:r w:rsidRPr="00CE67BA">
        <w:rPr>
          <w:rFonts w:eastAsia="Times New Roman"/>
          <w:sz w:val="24"/>
          <w:szCs w:val="24"/>
          <w:lang w:eastAsia="uk-UA"/>
        </w:rPr>
        <w:softHyphen/>
      </w:r>
      <w:r w:rsidRPr="00CE67BA">
        <w:rPr>
          <w:rFonts w:eastAsia="Times New Roman"/>
          <w:sz w:val="24"/>
          <w:szCs w:val="24"/>
          <w:lang w:eastAsia="uk-UA"/>
        </w:rPr>
        <w:softHyphen/>
      </w:r>
      <w:r w:rsidRPr="00CE67BA">
        <w:rPr>
          <w:rFonts w:eastAsia="Times New Roman"/>
          <w:sz w:val="24"/>
          <w:szCs w:val="24"/>
          <w:lang w:eastAsia="uk-UA"/>
        </w:rPr>
        <w:softHyphen/>
      </w:r>
      <w:r w:rsidRPr="00CE67BA">
        <w:rPr>
          <w:rFonts w:eastAsia="Times New Roman"/>
          <w:sz w:val="24"/>
          <w:szCs w:val="24"/>
          <w:lang w:eastAsia="uk-UA"/>
        </w:rPr>
        <w:softHyphen/>
      </w:r>
      <w:r w:rsidRPr="00CE67BA">
        <w:rPr>
          <w:rFonts w:eastAsia="Times New Roman"/>
          <w:sz w:val="24"/>
          <w:szCs w:val="24"/>
          <w:lang w:eastAsia="uk-UA"/>
        </w:rPr>
        <w:softHyphen/>
      </w:r>
      <w:r w:rsidRPr="00CE67BA">
        <w:rPr>
          <w:rFonts w:eastAsia="Times New Roman"/>
          <w:sz w:val="24"/>
          <w:szCs w:val="24"/>
          <w:lang w:eastAsia="uk-UA"/>
        </w:rPr>
        <w:softHyphen/>
      </w:r>
      <w:r w:rsidRPr="00CE67BA">
        <w:rPr>
          <w:rFonts w:eastAsia="Times New Roman"/>
          <w:sz w:val="24"/>
          <w:szCs w:val="24"/>
          <w:lang w:eastAsia="uk-UA"/>
        </w:rPr>
        <w:softHyphen/>
      </w:r>
      <w:r w:rsidRPr="00CE67BA">
        <w:rPr>
          <w:rFonts w:eastAsia="Times New Roman"/>
          <w:sz w:val="24"/>
          <w:szCs w:val="24"/>
          <w:lang w:eastAsia="uk-UA"/>
        </w:rPr>
        <w:softHyphen/>
      </w:r>
      <w:r w:rsidRPr="00CE67BA">
        <w:rPr>
          <w:rFonts w:eastAsia="Times New Roman"/>
          <w:sz w:val="24"/>
          <w:szCs w:val="24"/>
          <w:lang w:eastAsia="uk-UA"/>
        </w:rPr>
        <w:softHyphen/>
      </w:r>
      <w:r w:rsidRPr="00CE67BA">
        <w:rPr>
          <w:rFonts w:eastAsia="Times New Roman"/>
          <w:sz w:val="24"/>
          <w:szCs w:val="24"/>
          <w:lang w:eastAsia="uk-UA"/>
        </w:rPr>
        <w:softHyphen/>
      </w:r>
    </w:p>
    <w:sectPr w:rsidR="00BF7F5E" w:rsidRPr="00CE67BA" w:rsidSect="00BA1D6E">
      <w:footerReference w:type="default" r:id="rId8"/>
      <w:pgSz w:w="11906" w:h="16838"/>
      <w:pgMar w:top="709"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A58" w:rsidRDefault="006B7A58" w:rsidP="004A64CA">
      <w:pPr>
        <w:widowControl/>
        <w:spacing w:line="240" w:lineRule="auto"/>
        <w:ind w:firstLine="0"/>
        <w:rPr>
          <w:rFonts w:eastAsia="Times New Roman"/>
          <w:sz w:val="24"/>
          <w:szCs w:val="24"/>
        </w:rPr>
      </w:pPr>
      <w:r>
        <w:rPr>
          <w:rFonts w:eastAsia="Times New Roman"/>
          <w:sz w:val="24"/>
          <w:szCs w:val="24"/>
        </w:rPr>
        <w:separator/>
      </w:r>
    </w:p>
  </w:endnote>
  <w:endnote w:type="continuationSeparator" w:id="0">
    <w:p w:rsidR="006B7A58" w:rsidRDefault="006B7A58" w:rsidP="004A64CA">
      <w:pPr>
        <w:widowControl/>
        <w:spacing w:line="240" w:lineRule="auto"/>
        <w:ind w:firstLine="0"/>
        <w:rPr>
          <w:rFonts w:eastAsia="Times New Roman"/>
          <w:sz w:val="24"/>
          <w:szCs w:val="24"/>
        </w:rPr>
      </w:pPr>
      <w:r>
        <w:rPr>
          <w:rFonts w:eastAsia="Times New Roman"/>
          <w:sz w:val="24"/>
          <w:szCs w:val="24"/>
        </w:rPr>
        <w:continuationSeparator/>
      </w:r>
    </w:p>
  </w:endnote>
</w:endnotes>
</file>

<file path=word/fontTable.xml><?xml version="1.0" encoding="utf-8"?>
<w:fonts xmlns:r="http://schemas.openxmlformats.org/officeDocument/2006/relationships" xmlns:w="http://schemas.openxmlformats.org/wordprocessingml/2006/main">
  <w:font w:name="Candara">
    <w:panose1 w:val="020E0502030303020204"/>
    <w:charset w:val="CC"/>
    <w:family w:val="swiss"/>
    <w:pitch w:val="variable"/>
    <w:sig w:usb0="A00002EF" w:usb1="4000A4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A58" w:rsidRDefault="00707C20">
    <w:pPr>
      <w:pStyle w:val="a8"/>
      <w:jc w:val="right"/>
    </w:pPr>
    <w:fldSimple w:instr=" PAGE   \* MERGEFORMAT ">
      <w:r w:rsidR="00CE67BA">
        <w:rPr>
          <w:noProof/>
        </w:rPr>
        <w:t>20</w:t>
      </w:r>
    </w:fldSimple>
  </w:p>
  <w:p w:rsidR="006B7A58" w:rsidRDefault="006B7A5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A58" w:rsidRDefault="006B7A58" w:rsidP="004A64CA">
      <w:pPr>
        <w:widowControl/>
        <w:spacing w:line="240" w:lineRule="auto"/>
        <w:ind w:firstLine="0"/>
        <w:rPr>
          <w:rFonts w:eastAsia="Times New Roman"/>
          <w:sz w:val="24"/>
          <w:szCs w:val="24"/>
        </w:rPr>
      </w:pPr>
      <w:r>
        <w:rPr>
          <w:rFonts w:eastAsia="Times New Roman"/>
          <w:sz w:val="24"/>
          <w:szCs w:val="24"/>
        </w:rPr>
        <w:separator/>
      </w:r>
    </w:p>
  </w:footnote>
  <w:footnote w:type="continuationSeparator" w:id="0">
    <w:p w:rsidR="006B7A58" w:rsidRDefault="006B7A58" w:rsidP="004A64CA">
      <w:pPr>
        <w:widowControl/>
        <w:spacing w:line="240" w:lineRule="auto"/>
        <w:ind w:firstLine="0"/>
        <w:rPr>
          <w:rFonts w:eastAsia="Times New Roman"/>
          <w:sz w:val="24"/>
          <w:szCs w:val="24"/>
        </w:rPr>
      </w:pPr>
      <w:r>
        <w:rPr>
          <w:rFonts w:eastAsia="Times New Roman"/>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F"/>
    <w:multiLevelType w:val="multilevel"/>
    <w:tmpl w:val="0000002E"/>
    <w:lvl w:ilvl="0">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1">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2">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3">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4">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5">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6">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7">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8">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abstractNum>
  <w:abstractNum w:abstractNumId="1">
    <w:nsid w:val="02674C6F"/>
    <w:multiLevelType w:val="multilevel"/>
    <w:tmpl w:val="2362A82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
    <w:nsid w:val="0BC529FB"/>
    <w:multiLevelType w:val="hybridMultilevel"/>
    <w:tmpl w:val="925A3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595D92"/>
    <w:multiLevelType w:val="hybridMultilevel"/>
    <w:tmpl w:val="FE2441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553563"/>
    <w:multiLevelType w:val="hybridMultilevel"/>
    <w:tmpl w:val="B882D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3520731"/>
    <w:multiLevelType w:val="hybridMultilevel"/>
    <w:tmpl w:val="3C54D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AF92CE5"/>
    <w:multiLevelType w:val="hybridMultilevel"/>
    <w:tmpl w:val="24EA8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EE87EF9"/>
    <w:multiLevelType w:val="hybridMultilevel"/>
    <w:tmpl w:val="C0C49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2D05C68"/>
    <w:multiLevelType w:val="hybridMultilevel"/>
    <w:tmpl w:val="30407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5B0AFA"/>
    <w:multiLevelType w:val="singleLevel"/>
    <w:tmpl w:val="855EF3BE"/>
    <w:lvl w:ilvl="0">
      <w:start w:val="2"/>
      <w:numFmt w:val="bullet"/>
      <w:lvlText w:val="-"/>
      <w:lvlJc w:val="left"/>
      <w:pPr>
        <w:tabs>
          <w:tab w:val="num" w:pos="1080"/>
        </w:tabs>
        <w:ind w:left="1080" w:hanging="360"/>
      </w:pPr>
      <w:rPr>
        <w:rFonts w:hint="default"/>
      </w:rPr>
    </w:lvl>
  </w:abstractNum>
  <w:abstractNum w:abstractNumId="10">
    <w:nsid w:val="486C0B71"/>
    <w:multiLevelType w:val="hybridMultilevel"/>
    <w:tmpl w:val="2C0E84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AF020AE"/>
    <w:multiLevelType w:val="hybridMultilevel"/>
    <w:tmpl w:val="B7E699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B814AA1"/>
    <w:multiLevelType w:val="hybridMultilevel"/>
    <w:tmpl w:val="91EA5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E067238"/>
    <w:multiLevelType w:val="hybridMultilevel"/>
    <w:tmpl w:val="5DD05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FF12526"/>
    <w:multiLevelType w:val="hybridMultilevel"/>
    <w:tmpl w:val="BE903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03F4064"/>
    <w:multiLevelType w:val="hybridMultilevel"/>
    <w:tmpl w:val="036CA0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4185E5E"/>
    <w:multiLevelType w:val="hybridMultilevel"/>
    <w:tmpl w:val="27B83328"/>
    <w:lvl w:ilvl="0" w:tplc="04190001">
      <w:start w:val="1"/>
      <w:numFmt w:val="bullet"/>
      <w:lvlText w:val=""/>
      <w:lvlJc w:val="left"/>
      <w:pPr>
        <w:ind w:left="420" w:hanging="360"/>
      </w:pPr>
      <w:rPr>
        <w:rFonts w:ascii="Symbol"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7">
    <w:nsid w:val="5EBF0011"/>
    <w:multiLevelType w:val="hybridMultilevel"/>
    <w:tmpl w:val="8A0A1B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95A655B"/>
    <w:multiLevelType w:val="hybridMultilevel"/>
    <w:tmpl w:val="0F8CB37A"/>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B4A33DF"/>
    <w:multiLevelType w:val="hybridMultilevel"/>
    <w:tmpl w:val="49C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42F76EE"/>
    <w:multiLevelType w:val="hybridMultilevel"/>
    <w:tmpl w:val="7EC03448"/>
    <w:lvl w:ilvl="0" w:tplc="8AC060CA">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1">
    <w:nsid w:val="76574284"/>
    <w:multiLevelType w:val="hybridMultilevel"/>
    <w:tmpl w:val="55A2AB30"/>
    <w:lvl w:ilvl="0" w:tplc="330CB9D2">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2">
    <w:nsid w:val="76945EA9"/>
    <w:multiLevelType w:val="hybridMultilevel"/>
    <w:tmpl w:val="9CCE2E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E211A7E"/>
    <w:multiLevelType w:val="hybridMultilevel"/>
    <w:tmpl w:val="D7349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E235382"/>
    <w:multiLevelType w:val="hybridMultilevel"/>
    <w:tmpl w:val="E12A8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E53783F"/>
    <w:multiLevelType w:val="hybridMultilevel"/>
    <w:tmpl w:val="911A2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EF60469"/>
    <w:multiLevelType w:val="hybridMultilevel"/>
    <w:tmpl w:val="9EACB1C2"/>
    <w:lvl w:ilvl="0" w:tplc="2EAE1EEC">
      <w:start w:val="18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C04793"/>
    <w:multiLevelType w:val="hybridMultilevel"/>
    <w:tmpl w:val="50B46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1"/>
  </w:num>
  <w:num w:numId="4">
    <w:abstractNumId w:val="16"/>
  </w:num>
  <w:num w:numId="5">
    <w:abstractNumId w:val="19"/>
  </w:num>
  <w:num w:numId="6">
    <w:abstractNumId w:val="25"/>
  </w:num>
  <w:num w:numId="7">
    <w:abstractNumId w:val="17"/>
  </w:num>
  <w:num w:numId="8">
    <w:abstractNumId w:val="18"/>
  </w:num>
  <w:num w:numId="9">
    <w:abstractNumId w:val="24"/>
  </w:num>
  <w:num w:numId="10">
    <w:abstractNumId w:val="11"/>
  </w:num>
  <w:num w:numId="11">
    <w:abstractNumId w:val="28"/>
  </w:num>
  <w:num w:numId="12">
    <w:abstractNumId w:val="3"/>
  </w:num>
  <w:num w:numId="13">
    <w:abstractNumId w:val="4"/>
  </w:num>
  <w:num w:numId="14">
    <w:abstractNumId w:val="12"/>
  </w:num>
  <w:num w:numId="15">
    <w:abstractNumId w:val="6"/>
  </w:num>
  <w:num w:numId="16">
    <w:abstractNumId w:val="10"/>
  </w:num>
  <w:num w:numId="17">
    <w:abstractNumId w:val="14"/>
  </w:num>
  <w:num w:numId="18">
    <w:abstractNumId w:val="26"/>
  </w:num>
  <w:num w:numId="19">
    <w:abstractNumId w:val="15"/>
  </w:num>
  <w:num w:numId="20">
    <w:abstractNumId w:val="7"/>
  </w:num>
  <w:num w:numId="21">
    <w:abstractNumId w:val="22"/>
  </w:num>
  <w:num w:numId="22">
    <w:abstractNumId w:val="5"/>
  </w:num>
  <w:num w:numId="23">
    <w:abstractNumId w:val="13"/>
  </w:num>
  <w:num w:numId="24">
    <w:abstractNumId w:val="9"/>
  </w:num>
  <w:num w:numId="25">
    <w:abstractNumId w:val="23"/>
  </w:num>
  <w:num w:numId="26">
    <w:abstractNumId w:val="2"/>
  </w:num>
  <w:num w:numId="27">
    <w:abstractNumId w:val="8"/>
  </w:num>
  <w:num w:numId="28">
    <w:abstractNumId w:val="27"/>
  </w:num>
  <w:num w:numId="29">
    <w:abstractNumId w:val="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E7B03"/>
    <w:rsid w:val="000101A4"/>
    <w:rsid w:val="000102AC"/>
    <w:rsid w:val="000102CB"/>
    <w:rsid w:val="00014C56"/>
    <w:rsid w:val="00020212"/>
    <w:rsid w:val="000211CB"/>
    <w:rsid w:val="0002190C"/>
    <w:rsid w:val="0003000A"/>
    <w:rsid w:val="00043695"/>
    <w:rsid w:val="00044888"/>
    <w:rsid w:val="00060A95"/>
    <w:rsid w:val="00064C21"/>
    <w:rsid w:val="00066067"/>
    <w:rsid w:val="00067800"/>
    <w:rsid w:val="0007527A"/>
    <w:rsid w:val="00076678"/>
    <w:rsid w:val="0007737A"/>
    <w:rsid w:val="000834E8"/>
    <w:rsid w:val="00094629"/>
    <w:rsid w:val="00097DB5"/>
    <w:rsid w:val="000A1239"/>
    <w:rsid w:val="000A20F1"/>
    <w:rsid w:val="000A742D"/>
    <w:rsid w:val="000B20D3"/>
    <w:rsid w:val="000B2113"/>
    <w:rsid w:val="000B2706"/>
    <w:rsid w:val="000B4B94"/>
    <w:rsid w:val="000C45B0"/>
    <w:rsid w:val="000C45B3"/>
    <w:rsid w:val="000C4BA3"/>
    <w:rsid w:val="000D4D72"/>
    <w:rsid w:val="000E0542"/>
    <w:rsid w:val="000E2FE5"/>
    <w:rsid w:val="000E5ECB"/>
    <w:rsid w:val="000F1878"/>
    <w:rsid w:val="000F2728"/>
    <w:rsid w:val="00100C85"/>
    <w:rsid w:val="00101130"/>
    <w:rsid w:val="00105185"/>
    <w:rsid w:val="00113C2D"/>
    <w:rsid w:val="0011571F"/>
    <w:rsid w:val="00120DB4"/>
    <w:rsid w:val="0012481F"/>
    <w:rsid w:val="00137CE3"/>
    <w:rsid w:val="001518E9"/>
    <w:rsid w:val="00152421"/>
    <w:rsid w:val="001602C2"/>
    <w:rsid w:val="00161591"/>
    <w:rsid w:val="00162B21"/>
    <w:rsid w:val="00163C91"/>
    <w:rsid w:val="00164382"/>
    <w:rsid w:val="00167A50"/>
    <w:rsid w:val="00175BCA"/>
    <w:rsid w:val="0018138A"/>
    <w:rsid w:val="001829BE"/>
    <w:rsid w:val="001850D7"/>
    <w:rsid w:val="00185570"/>
    <w:rsid w:val="00185AA1"/>
    <w:rsid w:val="0018608B"/>
    <w:rsid w:val="00190BC1"/>
    <w:rsid w:val="001A0250"/>
    <w:rsid w:val="001A4C98"/>
    <w:rsid w:val="001A7958"/>
    <w:rsid w:val="001B2150"/>
    <w:rsid w:val="001B215F"/>
    <w:rsid w:val="001B21CD"/>
    <w:rsid w:val="001B2ACB"/>
    <w:rsid w:val="001B7922"/>
    <w:rsid w:val="001B7B6C"/>
    <w:rsid w:val="001C06C3"/>
    <w:rsid w:val="001C1AF6"/>
    <w:rsid w:val="001D312A"/>
    <w:rsid w:val="001F2094"/>
    <w:rsid w:val="001F3B0E"/>
    <w:rsid w:val="00203A9B"/>
    <w:rsid w:val="00203F8C"/>
    <w:rsid w:val="00206621"/>
    <w:rsid w:val="0021280B"/>
    <w:rsid w:val="00215C76"/>
    <w:rsid w:val="00224A55"/>
    <w:rsid w:val="00231698"/>
    <w:rsid w:val="002318C4"/>
    <w:rsid w:val="002326D7"/>
    <w:rsid w:val="00232C6A"/>
    <w:rsid w:val="00233CA6"/>
    <w:rsid w:val="00240454"/>
    <w:rsid w:val="00247400"/>
    <w:rsid w:val="00250C7F"/>
    <w:rsid w:val="002525A1"/>
    <w:rsid w:val="00252AB4"/>
    <w:rsid w:val="00256510"/>
    <w:rsid w:val="00256746"/>
    <w:rsid w:val="00260E1C"/>
    <w:rsid w:val="0026209E"/>
    <w:rsid w:val="0026233C"/>
    <w:rsid w:val="002670B6"/>
    <w:rsid w:val="00267EFD"/>
    <w:rsid w:val="0027243A"/>
    <w:rsid w:val="00272A60"/>
    <w:rsid w:val="00274B0C"/>
    <w:rsid w:val="00275253"/>
    <w:rsid w:val="002841F6"/>
    <w:rsid w:val="00284667"/>
    <w:rsid w:val="0028581D"/>
    <w:rsid w:val="00287817"/>
    <w:rsid w:val="00295408"/>
    <w:rsid w:val="00295D5F"/>
    <w:rsid w:val="002A1C63"/>
    <w:rsid w:val="002A7458"/>
    <w:rsid w:val="002A768C"/>
    <w:rsid w:val="002C33AF"/>
    <w:rsid w:val="002D4CBE"/>
    <w:rsid w:val="002D66DD"/>
    <w:rsid w:val="002E3D61"/>
    <w:rsid w:val="002F161C"/>
    <w:rsid w:val="002F18C9"/>
    <w:rsid w:val="00304C76"/>
    <w:rsid w:val="00305625"/>
    <w:rsid w:val="003066AE"/>
    <w:rsid w:val="00310F2E"/>
    <w:rsid w:val="0031265B"/>
    <w:rsid w:val="0031536E"/>
    <w:rsid w:val="00315697"/>
    <w:rsid w:val="00320730"/>
    <w:rsid w:val="00320E5B"/>
    <w:rsid w:val="00321ABC"/>
    <w:rsid w:val="00324DCD"/>
    <w:rsid w:val="00324E87"/>
    <w:rsid w:val="00327784"/>
    <w:rsid w:val="00337670"/>
    <w:rsid w:val="00343AFF"/>
    <w:rsid w:val="00344636"/>
    <w:rsid w:val="003451BD"/>
    <w:rsid w:val="00353FC3"/>
    <w:rsid w:val="00361C87"/>
    <w:rsid w:val="00362460"/>
    <w:rsid w:val="00362602"/>
    <w:rsid w:val="00365D0C"/>
    <w:rsid w:val="003720C2"/>
    <w:rsid w:val="003735FA"/>
    <w:rsid w:val="0037386E"/>
    <w:rsid w:val="0037657E"/>
    <w:rsid w:val="00376D68"/>
    <w:rsid w:val="003778C5"/>
    <w:rsid w:val="003867CC"/>
    <w:rsid w:val="00387CBA"/>
    <w:rsid w:val="00391DBB"/>
    <w:rsid w:val="00393854"/>
    <w:rsid w:val="003A231D"/>
    <w:rsid w:val="003A328F"/>
    <w:rsid w:val="003A33B6"/>
    <w:rsid w:val="003A5249"/>
    <w:rsid w:val="003A7B54"/>
    <w:rsid w:val="003B02F2"/>
    <w:rsid w:val="003B445D"/>
    <w:rsid w:val="003B5441"/>
    <w:rsid w:val="003B5725"/>
    <w:rsid w:val="003B5D09"/>
    <w:rsid w:val="003B79EB"/>
    <w:rsid w:val="003B7A16"/>
    <w:rsid w:val="003C084E"/>
    <w:rsid w:val="003C153F"/>
    <w:rsid w:val="003C2C9E"/>
    <w:rsid w:val="003C2FD8"/>
    <w:rsid w:val="003C4381"/>
    <w:rsid w:val="003C5A7F"/>
    <w:rsid w:val="003C6211"/>
    <w:rsid w:val="003D0596"/>
    <w:rsid w:val="003D29F3"/>
    <w:rsid w:val="003D40DE"/>
    <w:rsid w:val="003E5AFF"/>
    <w:rsid w:val="003F300C"/>
    <w:rsid w:val="003F3986"/>
    <w:rsid w:val="0040351E"/>
    <w:rsid w:val="00403941"/>
    <w:rsid w:val="00403B7F"/>
    <w:rsid w:val="00405E3E"/>
    <w:rsid w:val="00406913"/>
    <w:rsid w:val="0041555C"/>
    <w:rsid w:val="004156DC"/>
    <w:rsid w:val="00415932"/>
    <w:rsid w:val="0041754F"/>
    <w:rsid w:val="00421C8E"/>
    <w:rsid w:val="004240F6"/>
    <w:rsid w:val="0042452D"/>
    <w:rsid w:val="00425264"/>
    <w:rsid w:val="004270B3"/>
    <w:rsid w:val="004302E5"/>
    <w:rsid w:val="00431C4A"/>
    <w:rsid w:val="00432D79"/>
    <w:rsid w:val="00435427"/>
    <w:rsid w:val="00437435"/>
    <w:rsid w:val="0044005A"/>
    <w:rsid w:val="00440376"/>
    <w:rsid w:val="00440D7F"/>
    <w:rsid w:val="00444D35"/>
    <w:rsid w:val="00446535"/>
    <w:rsid w:val="004542A4"/>
    <w:rsid w:val="0045750F"/>
    <w:rsid w:val="004610CA"/>
    <w:rsid w:val="00461C95"/>
    <w:rsid w:val="004664B8"/>
    <w:rsid w:val="004727D2"/>
    <w:rsid w:val="004738C5"/>
    <w:rsid w:val="00474299"/>
    <w:rsid w:val="0048003B"/>
    <w:rsid w:val="00486D91"/>
    <w:rsid w:val="00490B6F"/>
    <w:rsid w:val="00495AE5"/>
    <w:rsid w:val="004A061B"/>
    <w:rsid w:val="004A4DEF"/>
    <w:rsid w:val="004A4E19"/>
    <w:rsid w:val="004A5EC7"/>
    <w:rsid w:val="004A64CA"/>
    <w:rsid w:val="004B4483"/>
    <w:rsid w:val="004B7557"/>
    <w:rsid w:val="004C68AC"/>
    <w:rsid w:val="004D1130"/>
    <w:rsid w:val="004D291A"/>
    <w:rsid w:val="004D402F"/>
    <w:rsid w:val="004E1B55"/>
    <w:rsid w:val="004E685A"/>
    <w:rsid w:val="004E70CE"/>
    <w:rsid w:val="004E725E"/>
    <w:rsid w:val="004F0094"/>
    <w:rsid w:val="004F174A"/>
    <w:rsid w:val="004F1F27"/>
    <w:rsid w:val="004F7C71"/>
    <w:rsid w:val="004F7EBC"/>
    <w:rsid w:val="00505CDB"/>
    <w:rsid w:val="00505EC7"/>
    <w:rsid w:val="00510AA2"/>
    <w:rsid w:val="00512ABD"/>
    <w:rsid w:val="00512FBC"/>
    <w:rsid w:val="00517BD6"/>
    <w:rsid w:val="005302EA"/>
    <w:rsid w:val="00530941"/>
    <w:rsid w:val="00534254"/>
    <w:rsid w:val="005435F3"/>
    <w:rsid w:val="00547BB8"/>
    <w:rsid w:val="0055058E"/>
    <w:rsid w:val="005521CB"/>
    <w:rsid w:val="00555D1B"/>
    <w:rsid w:val="00564F1B"/>
    <w:rsid w:val="005716FB"/>
    <w:rsid w:val="0057292A"/>
    <w:rsid w:val="00576C4F"/>
    <w:rsid w:val="00577CAA"/>
    <w:rsid w:val="0058461A"/>
    <w:rsid w:val="005852BD"/>
    <w:rsid w:val="005A6E58"/>
    <w:rsid w:val="005A7DC4"/>
    <w:rsid w:val="005B69F6"/>
    <w:rsid w:val="005B75C3"/>
    <w:rsid w:val="005C166D"/>
    <w:rsid w:val="005C2693"/>
    <w:rsid w:val="005C4810"/>
    <w:rsid w:val="005C5071"/>
    <w:rsid w:val="005D316A"/>
    <w:rsid w:val="005D47CC"/>
    <w:rsid w:val="005E1B5D"/>
    <w:rsid w:val="005E213E"/>
    <w:rsid w:val="005E2886"/>
    <w:rsid w:val="005E67CB"/>
    <w:rsid w:val="005F124D"/>
    <w:rsid w:val="005F4105"/>
    <w:rsid w:val="005F57FE"/>
    <w:rsid w:val="005F671D"/>
    <w:rsid w:val="005F682A"/>
    <w:rsid w:val="00605B76"/>
    <w:rsid w:val="0061115D"/>
    <w:rsid w:val="00611F74"/>
    <w:rsid w:val="00614845"/>
    <w:rsid w:val="006214B3"/>
    <w:rsid w:val="00622353"/>
    <w:rsid w:val="00622613"/>
    <w:rsid w:val="00624292"/>
    <w:rsid w:val="00627522"/>
    <w:rsid w:val="00630A3D"/>
    <w:rsid w:val="00634200"/>
    <w:rsid w:val="006347D7"/>
    <w:rsid w:val="00637468"/>
    <w:rsid w:val="006447EF"/>
    <w:rsid w:val="00647233"/>
    <w:rsid w:val="00675198"/>
    <w:rsid w:val="00676C0C"/>
    <w:rsid w:val="0068048E"/>
    <w:rsid w:val="006812C3"/>
    <w:rsid w:val="0068248F"/>
    <w:rsid w:val="00683267"/>
    <w:rsid w:val="0068340F"/>
    <w:rsid w:val="006856CE"/>
    <w:rsid w:val="0068593A"/>
    <w:rsid w:val="006902C0"/>
    <w:rsid w:val="0069670E"/>
    <w:rsid w:val="006A11DB"/>
    <w:rsid w:val="006A2A3F"/>
    <w:rsid w:val="006A445A"/>
    <w:rsid w:val="006B1A3B"/>
    <w:rsid w:val="006B4404"/>
    <w:rsid w:val="006B4FB0"/>
    <w:rsid w:val="006B5DCD"/>
    <w:rsid w:val="006B5F88"/>
    <w:rsid w:val="006B7A58"/>
    <w:rsid w:val="006C08F1"/>
    <w:rsid w:val="006C2B31"/>
    <w:rsid w:val="006C4380"/>
    <w:rsid w:val="006D6618"/>
    <w:rsid w:val="006E27DB"/>
    <w:rsid w:val="006E4083"/>
    <w:rsid w:val="006F3C36"/>
    <w:rsid w:val="006F4F69"/>
    <w:rsid w:val="0070202E"/>
    <w:rsid w:val="00702255"/>
    <w:rsid w:val="00707B24"/>
    <w:rsid w:val="00707C20"/>
    <w:rsid w:val="007104BB"/>
    <w:rsid w:val="007129DF"/>
    <w:rsid w:val="007139E1"/>
    <w:rsid w:val="00716661"/>
    <w:rsid w:val="00717A87"/>
    <w:rsid w:val="007202C9"/>
    <w:rsid w:val="00726BFF"/>
    <w:rsid w:val="00727023"/>
    <w:rsid w:val="00727705"/>
    <w:rsid w:val="00731859"/>
    <w:rsid w:val="00731AA5"/>
    <w:rsid w:val="00732D95"/>
    <w:rsid w:val="00734C70"/>
    <w:rsid w:val="007354BB"/>
    <w:rsid w:val="00742BC0"/>
    <w:rsid w:val="00745001"/>
    <w:rsid w:val="0074739D"/>
    <w:rsid w:val="00747ADA"/>
    <w:rsid w:val="00751268"/>
    <w:rsid w:val="007542A4"/>
    <w:rsid w:val="007548C0"/>
    <w:rsid w:val="00755BD1"/>
    <w:rsid w:val="007604CB"/>
    <w:rsid w:val="00761460"/>
    <w:rsid w:val="00762E17"/>
    <w:rsid w:val="00763115"/>
    <w:rsid w:val="0077099D"/>
    <w:rsid w:val="00770D9B"/>
    <w:rsid w:val="00771F87"/>
    <w:rsid w:val="00773523"/>
    <w:rsid w:val="0077355F"/>
    <w:rsid w:val="0077393D"/>
    <w:rsid w:val="00781DF4"/>
    <w:rsid w:val="00783550"/>
    <w:rsid w:val="007846EA"/>
    <w:rsid w:val="007861BD"/>
    <w:rsid w:val="0079016C"/>
    <w:rsid w:val="0079589E"/>
    <w:rsid w:val="00795E13"/>
    <w:rsid w:val="00796819"/>
    <w:rsid w:val="007A02DA"/>
    <w:rsid w:val="007A5205"/>
    <w:rsid w:val="007A6794"/>
    <w:rsid w:val="007B012A"/>
    <w:rsid w:val="007B0E2D"/>
    <w:rsid w:val="007B252B"/>
    <w:rsid w:val="007B464C"/>
    <w:rsid w:val="007B70D9"/>
    <w:rsid w:val="007B7B88"/>
    <w:rsid w:val="007C1ABC"/>
    <w:rsid w:val="007C36A9"/>
    <w:rsid w:val="007C65D6"/>
    <w:rsid w:val="007D2A46"/>
    <w:rsid w:val="007D2C2C"/>
    <w:rsid w:val="007D3DAC"/>
    <w:rsid w:val="007E6BEE"/>
    <w:rsid w:val="007F4D7C"/>
    <w:rsid w:val="007F56B6"/>
    <w:rsid w:val="008023FE"/>
    <w:rsid w:val="00802CC2"/>
    <w:rsid w:val="00806216"/>
    <w:rsid w:val="00814985"/>
    <w:rsid w:val="00815A10"/>
    <w:rsid w:val="00815FE1"/>
    <w:rsid w:val="00817389"/>
    <w:rsid w:val="008215D0"/>
    <w:rsid w:val="0082769A"/>
    <w:rsid w:val="0082793D"/>
    <w:rsid w:val="00830539"/>
    <w:rsid w:val="00831339"/>
    <w:rsid w:val="008344D3"/>
    <w:rsid w:val="0084161E"/>
    <w:rsid w:val="00842242"/>
    <w:rsid w:val="00850C0F"/>
    <w:rsid w:val="0085166B"/>
    <w:rsid w:val="0085176B"/>
    <w:rsid w:val="008564AD"/>
    <w:rsid w:val="00861CB6"/>
    <w:rsid w:val="0086451F"/>
    <w:rsid w:val="008647A6"/>
    <w:rsid w:val="008721B1"/>
    <w:rsid w:val="008723C8"/>
    <w:rsid w:val="008741F8"/>
    <w:rsid w:val="008772BD"/>
    <w:rsid w:val="00880943"/>
    <w:rsid w:val="008829F4"/>
    <w:rsid w:val="00890F3B"/>
    <w:rsid w:val="008950A8"/>
    <w:rsid w:val="00897E44"/>
    <w:rsid w:val="008A1E19"/>
    <w:rsid w:val="008A4B30"/>
    <w:rsid w:val="008A6290"/>
    <w:rsid w:val="008A79A7"/>
    <w:rsid w:val="008B0671"/>
    <w:rsid w:val="008B1630"/>
    <w:rsid w:val="008C0C66"/>
    <w:rsid w:val="008D249B"/>
    <w:rsid w:val="008D689C"/>
    <w:rsid w:val="008E428A"/>
    <w:rsid w:val="008E6208"/>
    <w:rsid w:val="008F03D3"/>
    <w:rsid w:val="008F0459"/>
    <w:rsid w:val="008F13CB"/>
    <w:rsid w:val="008F2D1F"/>
    <w:rsid w:val="008F6730"/>
    <w:rsid w:val="00901B28"/>
    <w:rsid w:val="00902A04"/>
    <w:rsid w:val="00906915"/>
    <w:rsid w:val="00907694"/>
    <w:rsid w:val="009117A2"/>
    <w:rsid w:val="0091243F"/>
    <w:rsid w:val="0091470E"/>
    <w:rsid w:val="00916879"/>
    <w:rsid w:val="00922C83"/>
    <w:rsid w:val="009236B7"/>
    <w:rsid w:val="0092556F"/>
    <w:rsid w:val="0092598D"/>
    <w:rsid w:val="00927CC2"/>
    <w:rsid w:val="00930756"/>
    <w:rsid w:val="00932675"/>
    <w:rsid w:val="00934F5C"/>
    <w:rsid w:val="00943A59"/>
    <w:rsid w:val="0094560F"/>
    <w:rsid w:val="00950891"/>
    <w:rsid w:val="00952356"/>
    <w:rsid w:val="00954DAC"/>
    <w:rsid w:val="0095672E"/>
    <w:rsid w:val="0096085E"/>
    <w:rsid w:val="009659B3"/>
    <w:rsid w:val="009667FE"/>
    <w:rsid w:val="009671E7"/>
    <w:rsid w:val="00975C37"/>
    <w:rsid w:val="00977A5E"/>
    <w:rsid w:val="0098167C"/>
    <w:rsid w:val="00983CF5"/>
    <w:rsid w:val="0098653F"/>
    <w:rsid w:val="00987069"/>
    <w:rsid w:val="0099380A"/>
    <w:rsid w:val="009A1BB8"/>
    <w:rsid w:val="009A556E"/>
    <w:rsid w:val="009B28C5"/>
    <w:rsid w:val="009B2E88"/>
    <w:rsid w:val="009B7CD9"/>
    <w:rsid w:val="009C0307"/>
    <w:rsid w:val="009C2B12"/>
    <w:rsid w:val="009C33F0"/>
    <w:rsid w:val="009D08AB"/>
    <w:rsid w:val="009D2634"/>
    <w:rsid w:val="009D6EEA"/>
    <w:rsid w:val="009E1936"/>
    <w:rsid w:val="009E377B"/>
    <w:rsid w:val="009E38B6"/>
    <w:rsid w:val="009E4038"/>
    <w:rsid w:val="009E4D75"/>
    <w:rsid w:val="009E54FF"/>
    <w:rsid w:val="009F1366"/>
    <w:rsid w:val="00A000CF"/>
    <w:rsid w:val="00A00633"/>
    <w:rsid w:val="00A100CA"/>
    <w:rsid w:val="00A11D99"/>
    <w:rsid w:val="00A13DFD"/>
    <w:rsid w:val="00A17C41"/>
    <w:rsid w:val="00A22427"/>
    <w:rsid w:val="00A225C5"/>
    <w:rsid w:val="00A259F4"/>
    <w:rsid w:val="00A26FB9"/>
    <w:rsid w:val="00A30199"/>
    <w:rsid w:val="00A301E9"/>
    <w:rsid w:val="00A33878"/>
    <w:rsid w:val="00A345B9"/>
    <w:rsid w:val="00A36C4C"/>
    <w:rsid w:val="00A370C9"/>
    <w:rsid w:val="00A3719E"/>
    <w:rsid w:val="00A40B22"/>
    <w:rsid w:val="00A420A3"/>
    <w:rsid w:val="00A45FF4"/>
    <w:rsid w:val="00A464B8"/>
    <w:rsid w:val="00A5429C"/>
    <w:rsid w:val="00A559C6"/>
    <w:rsid w:val="00A567E3"/>
    <w:rsid w:val="00A56A08"/>
    <w:rsid w:val="00A57EE6"/>
    <w:rsid w:val="00A608B3"/>
    <w:rsid w:val="00A64985"/>
    <w:rsid w:val="00A7026F"/>
    <w:rsid w:val="00A77940"/>
    <w:rsid w:val="00A8551A"/>
    <w:rsid w:val="00A86DBD"/>
    <w:rsid w:val="00AB1E93"/>
    <w:rsid w:val="00AB7B20"/>
    <w:rsid w:val="00AB7BA7"/>
    <w:rsid w:val="00AC256C"/>
    <w:rsid w:val="00AC391E"/>
    <w:rsid w:val="00AC42B4"/>
    <w:rsid w:val="00AC4423"/>
    <w:rsid w:val="00AC566C"/>
    <w:rsid w:val="00AD02D3"/>
    <w:rsid w:val="00AD20D7"/>
    <w:rsid w:val="00AD36E7"/>
    <w:rsid w:val="00AD3CEC"/>
    <w:rsid w:val="00AE0D80"/>
    <w:rsid w:val="00AE424D"/>
    <w:rsid w:val="00AE67D1"/>
    <w:rsid w:val="00AE7B03"/>
    <w:rsid w:val="00AF2407"/>
    <w:rsid w:val="00AF597B"/>
    <w:rsid w:val="00B0632E"/>
    <w:rsid w:val="00B1105E"/>
    <w:rsid w:val="00B12BC0"/>
    <w:rsid w:val="00B17DA0"/>
    <w:rsid w:val="00B23EFF"/>
    <w:rsid w:val="00B30005"/>
    <w:rsid w:val="00B31EBE"/>
    <w:rsid w:val="00B33596"/>
    <w:rsid w:val="00B35A13"/>
    <w:rsid w:val="00B36954"/>
    <w:rsid w:val="00B37B79"/>
    <w:rsid w:val="00B4230F"/>
    <w:rsid w:val="00B43E6E"/>
    <w:rsid w:val="00B45FC1"/>
    <w:rsid w:val="00B54773"/>
    <w:rsid w:val="00B61D8A"/>
    <w:rsid w:val="00B66E8C"/>
    <w:rsid w:val="00B70F16"/>
    <w:rsid w:val="00B747F7"/>
    <w:rsid w:val="00B7525B"/>
    <w:rsid w:val="00B828C2"/>
    <w:rsid w:val="00B83B72"/>
    <w:rsid w:val="00B8593B"/>
    <w:rsid w:val="00B86E40"/>
    <w:rsid w:val="00B87B7C"/>
    <w:rsid w:val="00B905A0"/>
    <w:rsid w:val="00B919CF"/>
    <w:rsid w:val="00B92584"/>
    <w:rsid w:val="00B943EA"/>
    <w:rsid w:val="00BA1D6E"/>
    <w:rsid w:val="00BA3EF7"/>
    <w:rsid w:val="00BA680C"/>
    <w:rsid w:val="00BA6DEC"/>
    <w:rsid w:val="00BA74E9"/>
    <w:rsid w:val="00BB195C"/>
    <w:rsid w:val="00BB2683"/>
    <w:rsid w:val="00BB4069"/>
    <w:rsid w:val="00BB424B"/>
    <w:rsid w:val="00BB45F3"/>
    <w:rsid w:val="00BC0B2C"/>
    <w:rsid w:val="00BC5641"/>
    <w:rsid w:val="00BC7019"/>
    <w:rsid w:val="00BD64BD"/>
    <w:rsid w:val="00BF1492"/>
    <w:rsid w:val="00BF7F5E"/>
    <w:rsid w:val="00C0056B"/>
    <w:rsid w:val="00C021CA"/>
    <w:rsid w:val="00C12476"/>
    <w:rsid w:val="00C17401"/>
    <w:rsid w:val="00C21FAB"/>
    <w:rsid w:val="00C22680"/>
    <w:rsid w:val="00C22DE7"/>
    <w:rsid w:val="00C25F2D"/>
    <w:rsid w:val="00C43D56"/>
    <w:rsid w:val="00C509C8"/>
    <w:rsid w:val="00C55C56"/>
    <w:rsid w:val="00C66693"/>
    <w:rsid w:val="00C705F3"/>
    <w:rsid w:val="00C71274"/>
    <w:rsid w:val="00C72310"/>
    <w:rsid w:val="00C735CE"/>
    <w:rsid w:val="00C823F2"/>
    <w:rsid w:val="00C85B42"/>
    <w:rsid w:val="00C86318"/>
    <w:rsid w:val="00C95E8A"/>
    <w:rsid w:val="00CA70BA"/>
    <w:rsid w:val="00CA7262"/>
    <w:rsid w:val="00CA7C66"/>
    <w:rsid w:val="00CB6366"/>
    <w:rsid w:val="00CB69C2"/>
    <w:rsid w:val="00CC436B"/>
    <w:rsid w:val="00CC6428"/>
    <w:rsid w:val="00CD0EE3"/>
    <w:rsid w:val="00CD543A"/>
    <w:rsid w:val="00CE67BA"/>
    <w:rsid w:val="00CE7CF2"/>
    <w:rsid w:val="00CF029D"/>
    <w:rsid w:val="00CF3064"/>
    <w:rsid w:val="00CF6507"/>
    <w:rsid w:val="00CF78ED"/>
    <w:rsid w:val="00D007E2"/>
    <w:rsid w:val="00D04E6E"/>
    <w:rsid w:val="00D05B28"/>
    <w:rsid w:val="00D064D5"/>
    <w:rsid w:val="00D067C9"/>
    <w:rsid w:val="00D149D2"/>
    <w:rsid w:val="00D165F5"/>
    <w:rsid w:val="00D22384"/>
    <w:rsid w:val="00D22C4C"/>
    <w:rsid w:val="00D236B6"/>
    <w:rsid w:val="00D2454C"/>
    <w:rsid w:val="00D27161"/>
    <w:rsid w:val="00D27CD6"/>
    <w:rsid w:val="00D30AF4"/>
    <w:rsid w:val="00D33F3C"/>
    <w:rsid w:val="00D3600A"/>
    <w:rsid w:val="00D3732A"/>
    <w:rsid w:val="00D4163F"/>
    <w:rsid w:val="00D47235"/>
    <w:rsid w:val="00D47FB0"/>
    <w:rsid w:val="00D512E7"/>
    <w:rsid w:val="00D5166A"/>
    <w:rsid w:val="00D60621"/>
    <w:rsid w:val="00D62536"/>
    <w:rsid w:val="00D65746"/>
    <w:rsid w:val="00D67E36"/>
    <w:rsid w:val="00D7001D"/>
    <w:rsid w:val="00D70281"/>
    <w:rsid w:val="00D750F0"/>
    <w:rsid w:val="00D85D44"/>
    <w:rsid w:val="00D87574"/>
    <w:rsid w:val="00D8773F"/>
    <w:rsid w:val="00D87D4D"/>
    <w:rsid w:val="00D91C27"/>
    <w:rsid w:val="00D9249F"/>
    <w:rsid w:val="00D926A9"/>
    <w:rsid w:val="00D92F34"/>
    <w:rsid w:val="00D96A70"/>
    <w:rsid w:val="00DA5178"/>
    <w:rsid w:val="00DB1FE1"/>
    <w:rsid w:val="00DB2ACB"/>
    <w:rsid w:val="00DB346D"/>
    <w:rsid w:val="00DB3B71"/>
    <w:rsid w:val="00DB5E5F"/>
    <w:rsid w:val="00DB6684"/>
    <w:rsid w:val="00DB7F13"/>
    <w:rsid w:val="00DC273B"/>
    <w:rsid w:val="00DD0B33"/>
    <w:rsid w:val="00DD297E"/>
    <w:rsid w:val="00DD4A2B"/>
    <w:rsid w:val="00DD4DC1"/>
    <w:rsid w:val="00DE07EB"/>
    <w:rsid w:val="00DE4E35"/>
    <w:rsid w:val="00DE573E"/>
    <w:rsid w:val="00DF008B"/>
    <w:rsid w:val="00DF2A45"/>
    <w:rsid w:val="00E0697A"/>
    <w:rsid w:val="00E143F7"/>
    <w:rsid w:val="00E15D68"/>
    <w:rsid w:val="00E16D5A"/>
    <w:rsid w:val="00E17CAB"/>
    <w:rsid w:val="00E21104"/>
    <w:rsid w:val="00E31125"/>
    <w:rsid w:val="00E32276"/>
    <w:rsid w:val="00E32E39"/>
    <w:rsid w:val="00E43C4F"/>
    <w:rsid w:val="00E44020"/>
    <w:rsid w:val="00E45749"/>
    <w:rsid w:val="00E51F1C"/>
    <w:rsid w:val="00E6279B"/>
    <w:rsid w:val="00E66764"/>
    <w:rsid w:val="00E66D66"/>
    <w:rsid w:val="00E67832"/>
    <w:rsid w:val="00E7095C"/>
    <w:rsid w:val="00E724AE"/>
    <w:rsid w:val="00E73527"/>
    <w:rsid w:val="00E737CA"/>
    <w:rsid w:val="00E742F8"/>
    <w:rsid w:val="00E74EF5"/>
    <w:rsid w:val="00E80B8B"/>
    <w:rsid w:val="00E859F3"/>
    <w:rsid w:val="00E87897"/>
    <w:rsid w:val="00EA6BDF"/>
    <w:rsid w:val="00EB360F"/>
    <w:rsid w:val="00EC1667"/>
    <w:rsid w:val="00EC59E3"/>
    <w:rsid w:val="00EC6DBC"/>
    <w:rsid w:val="00ED01A9"/>
    <w:rsid w:val="00ED3392"/>
    <w:rsid w:val="00ED4433"/>
    <w:rsid w:val="00ED643F"/>
    <w:rsid w:val="00ED6B46"/>
    <w:rsid w:val="00EF0AD2"/>
    <w:rsid w:val="00EF12AB"/>
    <w:rsid w:val="00F004B4"/>
    <w:rsid w:val="00F006A3"/>
    <w:rsid w:val="00F01877"/>
    <w:rsid w:val="00F027FE"/>
    <w:rsid w:val="00F066A1"/>
    <w:rsid w:val="00F07000"/>
    <w:rsid w:val="00F1288B"/>
    <w:rsid w:val="00F16E0F"/>
    <w:rsid w:val="00F17D74"/>
    <w:rsid w:val="00F20B3F"/>
    <w:rsid w:val="00F277E8"/>
    <w:rsid w:val="00F336EF"/>
    <w:rsid w:val="00F33EF1"/>
    <w:rsid w:val="00F35D1C"/>
    <w:rsid w:val="00F449BA"/>
    <w:rsid w:val="00F466DD"/>
    <w:rsid w:val="00F46C75"/>
    <w:rsid w:val="00F50187"/>
    <w:rsid w:val="00F507D2"/>
    <w:rsid w:val="00F50A5B"/>
    <w:rsid w:val="00F54C04"/>
    <w:rsid w:val="00F5692A"/>
    <w:rsid w:val="00F628F9"/>
    <w:rsid w:val="00F62BD1"/>
    <w:rsid w:val="00F64FBA"/>
    <w:rsid w:val="00F66D97"/>
    <w:rsid w:val="00F67CB1"/>
    <w:rsid w:val="00F71A63"/>
    <w:rsid w:val="00F72094"/>
    <w:rsid w:val="00F749A8"/>
    <w:rsid w:val="00F81AE2"/>
    <w:rsid w:val="00F83345"/>
    <w:rsid w:val="00F83353"/>
    <w:rsid w:val="00F8439C"/>
    <w:rsid w:val="00F84FEA"/>
    <w:rsid w:val="00F87643"/>
    <w:rsid w:val="00F916F1"/>
    <w:rsid w:val="00F91BEF"/>
    <w:rsid w:val="00F94380"/>
    <w:rsid w:val="00F96055"/>
    <w:rsid w:val="00FB1A09"/>
    <w:rsid w:val="00FB5D1D"/>
    <w:rsid w:val="00FB60A6"/>
    <w:rsid w:val="00FB7C70"/>
    <w:rsid w:val="00FC0F0B"/>
    <w:rsid w:val="00FC2350"/>
    <w:rsid w:val="00FC7545"/>
    <w:rsid w:val="00FD240E"/>
    <w:rsid w:val="00FD4705"/>
    <w:rsid w:val="00FD5F5A"/>
    <w:rsid w:val="00FD7102"/>
    <w:rsid w:val="00FD7AD1"/>
    <w:rsid w:val="00FE22A8"/>
    <w:rsid w:val="00FE2D74"/>
    <w:rsid w:val="00FE38A3"/>
    <w:rsid w:val="00FE7F0D"/>
    <w:rsid w:val="00FF0AC7"/>
    <w:rsid w:val="00FF690F"/>
    <w:rsid w:val="00FF6CF7"/>
    <w:rsid w:val="00FF7C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jc w:val="both"/>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7B7B88"/>
    <w:pPr>
      <w:widowControl w:val="0"/>
      <w:spacing w:line="260" w:lineRule="auto"/>
      <w:ind w:firstLine="560"/>
    </w:pPr>
    <w:rPr>
      <w:rFonts w:ascii="Times New Roman" w:hAnsi="Times New Roman"/>
      <w:sz w:val="18"/>
      <w:lang w:val="uk-UA"/>
    </w:rPr>
  </w:style>
  <w:style w:type="paragraph" w:styleId="1">
    <w:name w:val="heading 1"/>
    <w:basedOn w:val="a"/>
    <w:next w:val="a"/>
    <w:link w:val="10"/>
    <w:qFormat/>
    <w:locked/>
    <w:rsid w:val="00FE22A8"/>
    <w:pPr>
      <w:keepNext/>
      <w:spacing w:before="240" w:after="60"/>
      <w:outlineLvl w:val="0"/>
    </w:pPr>
    <w:rPr>
      <w:rFonts w:ascii="Cambria" w:eastAsia="Times New Roman" w:hAnsi="Cambria"/>
      <w:b/>
      <w:bCs/>
      <w:kern w:val="32"/>
      <w:sz w:val="32"/>
      <w:szCs w:val="32"/>
    </w:rPr>
  </w:style>
  <w:style w:type="paragraph" w:styleId="4">
    <w:name w:val="heading 4"/>
    <w:basedOn w:val="a"/>
    <w:next w:val="a"/>
    <w:link w:val="40"/>
    <w:qFormat/>
    <w:locked/>
    <w:rsid w:val="00E32E39"/>
    <w:pPr>
      <w:keepNext/>
      <w:widowControl/>
      <w:spacing w:line="240" w:lineRule="auto"/>
      <w:ind w:left="720" w:firstLine="0"/>
      <w:outlineLvl w:val="3"/>
    </w:pPr>
    <w:rPr>
      <w:rFonts w:ascii="Times New Roman CYR" w:eastAsia="Times New Roman"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7B03"/>
    <w:pPr>
      <w:widowControl/>
      <w:spacing w:after="200" w:line="276" w:lineRule="auto"/>
      <w:ind w:left="720" w:firstLine="0"/>
      <w:contextualSpacing/>
    </w:pPr>
    <w:rPr>
      <w:rFonts w:ascii="Calibri" w:hAnsi="Calibri"/>
      <w:sz w:val="22"/>
      <w:szCs w:val="22"/>
      <w:lang w:eastAsia="en-US"/>
    </w:rPr>
  </w:style>
  <w:style w:type="paragraph" w:customStyle="1" w:styleId="Default">
    <w:name w:val="Default"/>
    <w:uiPriority w:val="99"/>
    <w:rsid w:val="00F64FBA"/>
    <w:pPr>
      <w:autoSpaceDE w:val="0"/>
      <w:autoSpaceDN w:val="0"/>
      <w:adjustRightInd w:val="0"/>
    </w:pPr>
    <w:rPr>
      <w:rFonts w:ascii="Garamond" w:hAnsi="Garamond" w:cs="Garamond"/>
      <w:color w:val="000000"/>
      <w:sz w:val="24"/>
      <w:szCs w:val="24"/>
      <w:lang w:eastAsia="en-US"/>
    </w:rPr>
  </w:style>
  <w:style w:type="paragraph" w:styleId="a4">
    <w:name w:val="Normal (Web)"/>
    <w:basedOn w:val="a"/>
    <w:uiPriority w:val="99"/>
    <w:rsid w:val="0048003B"/>
    <w:pPr>
      <w:widowControl/>
      <w:spacing w:before="100" w:beforeAutospacing="1" w:after="100" w:afterAutospacing="1" w:line="240" w:lineRule="auto"/>
      <w:ind w:firstLine="0"/>
    </w:pPr>
    <w:rPr>
      <w:rFonts w:eastAsia="Times New Roman"/>
      <w:sz w:val="24"/>
      <w:szCs w:val="24"/>
    </w:rPr>
  </w:style>
  <w:style w:type="paragraph" w:customStyle="1" w:styleId="rvps2">
    <w:name w:val="rvps2"/>
    <w:basedOn w:val="a"/>
    <w:rsid w:val="0048003B"/>
    <w:pPr>
      <w:widowControl/>
      <w:spacing w:before="100" w:beforeAutospacing="1" w:after="100" w:afterAutospacing="1" w:line="240" w:lineRule="auto"/>
      <w:ind w:firstLine="0"/>
    </w:pPr>
    <w:rPr>
      <w:rFonts w:eastAsia="Times New Roman"/>
      <w:sz w:val="24"/>
      <w:szCs w:val="24"/>
    </w:rPr>
  </w:style>
  <w:style w:type="character" w:customStyle="1" w:styleId="apple-converted-space">
    <w:name w:val="apple-converted-space"/>
    <w:uiPriority w:val="99"/>
    <w:rsid w:val="0048003B"/>
    <w:rPr>
      <w:rFonts w:cs="Times New Roman"/>
    </w:rPr>
  </w:style>
  <w:style w:type="character" w:customStyle="1" w:styleId="rvts44">
    <w:name w:val="rvts44"/>
    <w:uiPriority w:val="99"/>
    <w:rsid w:val="0048003B"/>
    <w:rPr>
      <w:rFonts w:cs="Times New Roman"/>
    </w:rPr>
  </w:style>
  <w:style w:type="character" w:customStyle="1" w:styleId="rvts9">
    <w:name w:val="rvts9"/>
    <w:uiPriority w:val="99"/>
    <w:rsid w:val="0048003B"/>
    <w:rPr>
      <w:rFonts w:cs="Times New Roman"/>
    </w:rPr>
  </w:style>
  <w:style w:type="table" w:styleId="a5">
    <w:name w:val="Table Grid"/>
    <w:basedOn w:val="a1"/>
    <w:uiPriority w:val="99"/>
    <w:rsid w:val="007739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7">
    <w:name w:val="Верхний колонтитул Знак"/>
    <w:link w:val="a6"/>
    <w:uiPriority w:val="99"/>
    <w:locked/>
    <w:rsid w:val="004A64CA"/>
    <w:rPr>
      <w:rFonts w:ascii="Times New Roman" w:hAnsi="Times New Roman" w:cs="Times New Roman"/>
      <w:sz w:val="24"/>
      <w:szCs w:val="24"/>
      <w:lang w:eastAsia="ru-RU"/>
    </w:rPr>
  </w:style>
  <w:style w:type="paragraph" w:styleId="a8">
    <w:name w:val="footer"/>
    <w:basedOn w:val="a"/>
    <w:link w:val="a9"/>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9">
    <w:name w:val="Нижний колонтитул Знак"/>
    <w:link w:val="a8"/>
    <w:uiPriority w:val="99"/>
    <w:locked/>
    <w:rsid w:val="004A64CA"/>
    <w:rPr>
      <w:rFonts w:ascii="Times New Roman" w:hAnsi="Times New Roman" w:cs="Times New Roman"/>
      <w:sz w:val="24"/>
      <w:szCs w:val="24"/>
      <w:lang w:eastAsia="ru-RU"/>
    </w:rPr>
  </w:style>
  <w:style w:type="paragraph" w:customStyle="1" w:styleId="HTML1">
    <w:name w:val="Стандартный HTML1"/>
    <w:basedOn w:val="a"/>
    <w:uiPriority w:val="99"/>
    <w:rsid w:val="00E311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s="Courier New"/>
      <w:sz w:val="20"/>
      <w:lang w:val="en-US" w:eastAsia="en-US"/>
    </w:rPr>
  </w:style>
  <w:style w:type="paragraph" w:styleId="aa">
    <w:name w:val="Body Text"/>
    <w:basedOn w:val="a"/>
    <w:link w:val="ab"/>
    <w:uiPriority w:val="99"/>
    <w:rsid w:val="003867CC"/>
    <w:pPr>
      <w:widowControl/>
      <w:spacing w:after="120" w:line="240" w:lineRule="auto"/>
      <w:ind w:firstLine="0"/>
    </w:pPr>
    <w:rPr>
      <w:rFonts w:ascii="Arial Narrow" w:eastAsia="Times New Roman" w:hAnsi="Arial Narrow"/>
      <w:sz w:val="24"/>
      <w:szCs w:val="24"/>
      <w:lang w:eastAsia="en-US"/>
    </w:rPr>
  </w:style>
  <w:style w:type="character" w:customStyle="1" w:styleId="ab">
    <w:name w:val="Основной текст Знак"/>
    <w:link w:val="aa"/>
    <w:uiPriority w:val="99"/>
    <w:locked/>
    <w:rsid w:val="003867CC"/>
    <w:rPr>
      <w:rFonts w:ascii="Arial Narrow" w:hAnsi="Arial Narrow" w:cs="Times New Roman"/>
      <w:sz w:val="24"/>
      <w:szCs w:val="24"/>
      <w:lang w:val="uk-UA" w:eastAsia="en-US" w:bidi="ar-SA"/>
    </w:rPr>
  </w:style>
  <w:style w:type="character" w:customStyle="1" w:styleId="rvts48">
    <w:name w:val="rvts48"/>
    <w:uiPriority w:val="99"/>
    <w:rsid w:val="003867CC"/>
    <w:rPr>
      <w:rFonts w:cs="Times New Roman"/>
    </w:rPr>
  </w:style>
  <w:style w:type="character" w:customStyle="1" w:styleId="2">
    <w:name w:val="Заголовок №2_"/>
    <w:link w:val="21"/>
    <w:uiPriority w:val="99"/>
    <w:locked/>
    <w:rsid w:val="00FF0AC7"/>
    <w:rPr>
      <w:rFonts w:ascii="Garamond" w:hAnsi="Garamond" w:cs="Times New Roman"/>
      <w:b/>
      <w:bCs/>
      <w:lang w:bidi="ar-SA"/>
    </w:rPr>
  </w:style>
  <w:style w:type="paragraph" w:customStyle="1" w:styleId="21">
    <w:name w:val="Заголовок №21"/>
    <w:basedOn w:val="a"/>
    <w:link w:val="2"/>
    <w:uiPriority w:val="99"/>
    <w:rsid w:val="00FF0AC7"/>
    <w:pPr>
      <w:widowControl/>
      <w:shd w:val="clear" w:color="auto" w:fill="FFFFFF"/>
      <w:spacing w:after="180" w:line="240" w:lineRule="atLeast"/>
      <w:ind w:firstLine="0"/>
      <w:outlineLvl w:val="1"/>
    </w:pPr>
    <w:rPr>
      <w:rFonts w:ascii="Garamond" w:hAnsi="Garamond"/>
      <w:b/>
      <w:bCs/>
      <w:noProof/>
      <w:sz w:val="20"/>
      <w:lang w:val="ru-RU"/>
    </w:rPr>
  </w:style>
  <w:style w:type="character" w:customStyle="1" w:styleId="hps">
    <w:name w:val="hps"/>
    <w:uiPriority w:val="99"/>
    <w:rsid w:val="008215D0"/>
  </w:style>
  <w:style w:type="paragraph" w:customStyle="1" w:styleId="ABC-paragrahinNotes">
    <w:name w:val="ABC - paragrah in Notes"/>
    <w:uiPriority w:val="99"/>
    <w:rsid w:val="008215D0"/>
    <w:pPr>
      <w:spacing w:after="240"/>
    </w:pPr>
    <w:rPr>
      <w:rFonts w:ascii="Arial" w:hAnsi="Arial"/>
      <w:lang w:val="en-GB" w:eastAsia="uk-UA"/>
    </w:rPr>
  </w:style>
  <w:style w:type="paragraph" w:customStyle="1" w:styleId="listparagraph">
    <w:name w:val="listparagraph"/>
    <w:basedOn w:val="a"/>
    <w:uiPriority w:val="99"/>
    <w:rsid w:val="007B7B88"/>
    <w:pPr>
      <w:widowControl/>
      <w:spacing w:after="200" w:line="276" w:lineRule="auto"/>
      <w:ind w:left="720" w:firstLine="0"/>
    </w:pPr>
    <w:rPr>
      <w:rFonts w:ascii="Calibri" w:hAnsi="Calibri"/>
      <w:sz w:val="22"/>
      <w:szCs w:val="22"/>
      <w:lang w:val="ru-RU"/>
    </w:rPr>
  </w:style>
  <w:style w:type="character" w:customStyle="1" w:styleId="12">
    <w:name w:val="Основной текст (12)_"/>
    <w:link w:val="120"/>
    <w:uiPriority w:val="99"/>
    <w:locked/>
    <w:rsid w:val="00275253"/>
    <w:rPr>
      <w:rFonts w:ascii="Garamond" w:hAnsi="Garamond" w:cs="Times New Roman"/>
      <w:i/>
      <w:iCs/>
      <w:lang w:bidi="ar-SA"/>
    </w:rPr>
  </w:style>
  <w:style w:type="paragraph" w:customStyle="1" w:styleId="120">
    <w:name w:val="Основной текст (12)"/>
    <w:basedOn w:val="a"/>
    <w:link w:val="12"/>
    <w:uiPriority w:val="99"/>
    <w:rsid w:val="00275253"/>
    <w:pPr>
      <w:widowControl/>
      <w:shd w:val="clear" w:color="auto" w:fill="FFFFFF"/>
      <w:spacing w:before="60" w:after="240" w:line="240" w:lineRule="atLeast"/>
      <w:ind w:firstLine="0"/>
    </w:pPr>
    <w:rPr>
      <w:rFonts w:ascii="Garamond" w:hAnsi="Garamond"/>
      <w:i/>
      <w:iCs/>
      <w:noProof/>
      <w:sz w:val="20"/>
      <w:lang w:val="ru-RU"/>
    </w:rPr>
  </w:style>
  <w:style w:type="paragraph" w:styleId="3">
    <w:name w:val="Body Text Indent 3"/>
    <w:basedOn w:val="a"/>
    <w:link w:val="30"/>
    <w:uiPriority w:val="99"/>
    <w:unhideWhenUsed/>
    <w:rsid w:val="00E32E39"/>
    <w:pPr>
      <w:spacing w:after="120"/>
      <w:ind w:left="283"/>
    </w:pPr>
    <w:rPr>
      <w:sz w:val="16"/>
      <w:szCs w:val="16"/>
    </w:rPr>
  </w:style>
  <w:style w:type="character" w:customStyle="1" w:styleId="30">
    <w:name w:val="Основной текст с отступом 3 Знак"/>
    <w:link w:val="3"/>
    <w:uiPriority w:val="99"/>
    <w:rsid w:val="00E32E39"/>
    <w:rPr>
      <w:rFonts w:ascii="Times New Roman" w:hAnsi="Times New Roman"/>
      <w:sz w:val="16"/>
      <w:szCs w:val="16"/>
      <w:lang w:val="uk-UA"/>
    </w:rPr>
  </w:style>
  <w:style w:type="character" w:customStyle="1" w:styleId="40">
    <w:name w:val="Заголовок 4 Знак"/>
    <w:link w:val="4"/>
    <w:rsid w:val="00E32E39"/>
    <w:rPr>
      <w:rFonts w:ascii="Times New Roman CYR" w:eastAsia="Times New Roman" w:hAnsi="Times New Roman CYR"/>
      <w:b/>
      <w:sz w:val="24"/>
      <w:szCs w:val="20"/>
      <w:lang w:val="uk-UA"/>
    </w:rPr>
  </w:style>
  <w:style w:type="paragraph" w:customStyle="1" w:styleId="11">
    <w:name w:val="Обычный1"/>
    <w:rsid w:val="00E32E39"/>
    <w:pPr>
      <w:widowControl w:val="0"/>
      <w:spacing w:line="260" w:lineRule="auto"/>
      <w:ind w:firstLine="560"/>
    </w:pPr>
    <w:rPr>
      <w:rFonts w:ascii="Times New Roman" w:eastAsia="Times New Roman" w:hAnsi="Times New Roman"/>
      <w:snapToGrid w:val="0"/>
      <w:sz w:val="18"/>
      <w:lang w:val="uk-UA"/>
    </w:rPr>
  </w:style>
  <w:style w:type="character" w:customStyle="1" w:styleId="10">
    <w:name w:val="Заголовок 1 Знак"/>
    <w:link w:val="1"/>
    <w:rsid w:val="00FE22A8"/>
    <w:rPr>
      <w:rFonts w:ascii="Cambria" w:eastAsia="Times New Roman" w:hAnsi="Cambria" w:cs="Times New Roman"/>
      <w:b/>
      <w:bCs/>
      <w:kern w:val="32"/>
      <w:sz w:val="32"/>
      <w:szCs w:val="32"/>
      <w:lang w:val="uk-UA"/>
    </w:rPr>
  </w:style>
  <w:style w:type="paragraph" w:customStyle="1" w:styleId="20">
    <w:name w:val="Обычный2"/>
    <w:rsid w:val="00BC5641"/>
    <w:pPr>
      <w:widowControl w:val="0"/>
      <w:spacing w:line="260" w:lineRule="auto"/>
      <w:ind w:firstLine="560"/>
    </w:pPr>
    <w:rPr>
      <w:rFonts w:ascii="Times New Roman" w:eastAsia="Times New Roman" w:hAnsi="Times New Roman"/>
      <w:snapToGrid w:val="0"/>
      <w:sz w:val="18"/>
      <w:lang w:val="uk-UA"/>
    </w:rPr>
  </w:style>
  <w:style w:type="paragraph" w:styleId="ac">
    <w:name w:val="No Spacing"/>
    <w:qFormat/>
    <w:rsid w:val="00BC5641"/>
    <w:rPr>
      <w:sz w:val="22"/>
      <w:szCs w:val="22"/>
      <w:lang w:eastAsia="en-US"/>
    </w:rPr>
  </w:style>
  <w:style w:type="paragraph" w:styleId="ad">
    <w:name w:val="Balloon Text"/>
    <w:basedOn w:val="a"/>
    <w:link w:val="ae"/>
    <w:unhideWhenUsed/>
    <w:rsid w:val="003A328F"/>
    <w:pPr>
      <w:spacing w:line="240" w:lineRule="auto"/>
    </w:pPr>
    <w:rPr>
      <w:rFonts w:ascii="Tahoma" w:hAnsi="Tahoma" w:cs="Tahoma"/>
      <w:sz w:val="16"/>
      <w:szCs w:val="16"/>
    </w:rPr>
  </w:style>
  <w:style w:type="character" w:customStyle="1" w:styleId="ae">
    <w:name w:val="Текст выноски Знак"/>
    <w:basedOn w:val="a0"/>
    <w:link w:val="ad"/>
    <w:rsid w:val="003A328F"/>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622252">
      <w:bodyDiv w:val="1"/>
      <w:marLeft w:val="0"/>
      <w:marRight w:val="0"/>
      <w:marTop w:val="0"/>
      <w:marBottom w:val="0"/>
      <w:divBdr>
        <w:top w:val="none" w:sz="0" w:space="0" w:color="auto"/>
        <w:left w:val="none" w:sz="0" w:space="0" w:color="auto"/>
        <w:bottom w:val="none" w:sz="0" w:space="0" w:color="auto"/>
        <w:right w:val="none" w:sz="0" w:space="0" w:color="auto"/>
      </w:divBdr>
    </w:div>
    <w:div w:id="526673052">
      <w:bodyDiv w:val="1"/>
      <w:marLeft w:val="0"/>
      <w:marRight w:val="0"/>
      <w:marTop w:val="0"/>
      <w:marBottom w:val="0"/>
      <w:divBdr>
        <w:top w:val="none" w:sz="0" w:space="0" w:color="auto"/>
        <w:left w:val="none" w:sz="0" w:space="0" w:color="auto"/>
        <w:bottom w:val="none" w:sz="0" w:space="0" w:color="auto"/>
        <w:right w:val="none" w:sz="0" w:space="0" w:color="auto"/>
      </w:divBdr>
      <w:divsChild>
        <w:div w:id="1486245323">
          <w:marLeft w:val="0"/>
          <w:marRight w:val="0"/>
          <w:marTop w:val="0"/>
          <w:marBottom w:val="0"/>
          <w:divBdr>
            <w:top w:val="none" w:sz="0" w:space="0" w:color="auto"/>
            <w:left w:val="none" w:sz="0" w:space="0" w:color="auto"/>
            <w:bottom w:val="none" w:sz="0" w:space="0" w:color="auto"/>
            <w:right w:val="none" w:sz="0" w:space="0" w:color="auto"/>
          </w:divBdr>
        </w:div>
        <w:div w:id="238099899">
          <w:marLeft w:val="0"/>
          <w:marRight w:val="0"/>
          <w:marTop w:val="0"/>
          <w:marBottom w:val="0"/>
          <w:divBdr>
            <w:top w:val="none" w:sz="0" w:space="0" w:color="auto"/>
            <w:left w:val="none" w:sz="0" w:space="0" w:color="auto"/>
            <w:bottom w:val="none" w:sz="0" w:space="0" w:color="auto"/>
            <w:right w:val="none" w:sz="0" w:space="0" w:color="auto"/>
          </w:divBdr>
        </w:div>
        <w:div w:id="547187680">
          <w:marLeft w:val="0"/>
          <w:marRight w:val="0"/>
          <w:marTop w:val="0"/>
          <w:marBottom w:val="0"/>
          <w:divBdr>
            <w:top w:val="none" w:sz="0" w:space="0" w:color="auto"/>
            <w:left w:val="none" w:sz="0" w:space="0" w:color="auto"/>
            <w:bottom w:val="none" w:sz="0" w:space="0" w:color="auto"/>
            <w:right w:val="none" w:sz="0" w:space="0" w:color="auto"/>
          </w:divBdr>
        </w:div>
      </w:divsChild>
    </w:div>
    <w:div w:id="972366526">
      <w:bodyDiv w:val="1"/>
      <w:marLeft w:val="0"/>
      <w:marRight w:val="0"/>
      <w:marTop w:val="0"/>
      <w:marBottom w:val="0"/>
      <w:divBdr>
        <w:top w:val="none" w:sz="0" w:space="0" w:color="auto"/>
        <w:left w:val="none" w:sz="0" w:space="0" w:color="auto"/>
        <w:bottom w:val="none" w:sz="0" w:space="0" w:color="auto"/>
        <w:right w:val="none" w:sz="0" w:space="0" w:color="auto"/>
      </w:divBdr>
    </w:div>
    <w:div w:id="1053886429">
      <w:bodyDiv w:val="1"/>
      <w:marLeft w:val="0"/>
      <w:marRight w:val="0"/>
      <w:marTop w:val="0"/>
      <w:marBottom w:val="0"/>
      <w:divBdr>
        <w:top w:val="none" w:sz="0" w:space="0" w:color="auto"/>
        <w:left w:val="none" w:sz="0" w:space="0" w:color="auto"/>
        <w:bottom w:val="none" w:sz="0" w:space="0" w:color="auto"/>
        <w:right w:val="none" w:sz="0" w:space="0" w:color="auto"/>
      </w:divBdr>
      <w:divsChild>
        <w:div w:id="2106220464">
          <w:marLeft w:val="0"/>
          <w:marRight w:val="0"/>
          <w:marTop w:val="0"/>
          <w:marBottom w:val="0"/>
          <w:divBdr>
            <w:top w:val="none" w:sz="0" w:space="0" w:color="auto"/>
            <w:left w:val="none" w:sz="0" w:space="0" w:color="auto"/>
            <w:bottom w:val="none" w:sz="0" w:space="0" w:color="auto"/>
            <w:right w:val="none" w:sz="0" w:space="0" w:color="auto"/>
          </w:divBdr>
        </w:div>
        <w:div w:id="1993678972">
          <w:marLeft w:val="0"/>
          <w:marRight w:val="0"/>
          <w:marTop w:val="0"/>
          <w:marBottom w:val="0"/>
          <w:divBdr>
            <w:top w:val="none" w:sz="0" w:space="0" w:color="auto"/>
            <w:left w:val="none" w:sz="0" w:space="0" w:color="auto"/>
            <w:bottom w:val="none" w:sz="0" w:space="0" w:color="auto"/>
            <w:right w:val="none" w:sz="0" w:space="0" w:color="auto"/>
          </w:divBdr>
        </w:div>
        <w:div w:id="1462453044">
          <w:marLeft w:val="0"/>
          <w:marRight w:val="0"/>
          <w:marTop w:val="0"/>
          <w:marBottom w:val="0"/>
          <w:divBdr>
            <w:top w:val="none" w:sz="0" w:space="0" w:color="auto"/>
            <w:left w:val="none" w:sz="0" w:space="0" w:color="auto"/>
            <w:bottom w:val="none" w:sz="0" w:space="0" w:color="auto"/>
            <w:right w:val="none" w:sz="0" w:space="0" w:color="auto"/>
          </w:divBdr>
        </w:div>
        <w:div w:id="1230070963">
          <w:marLeft w:val="0"/>
          <w:marRight w:val="0"/>
          <w:marTop w:val="0"/>
          <w:marBottom w:val="0"/>
          <w:divBdr>
            <w:top w:val="none" w:sz="0" w:space="0" w:color="auto"/>
            <w:left w:val="none" w:sz="0" w:space="0" w:color="auto"/>
            <w:bottom w:val="none" w:sz="0" w:space="0" w:color="auto"/>
            <w:right w:val="none" w:sz="0" w:space="0" w:color="auto"/>
          </w:divBdr>
        </w:div>
      </w:divsChild>
    </w:div>
    <w:div w:id="1185172821">
      <w:marLeft w:val="0"/>
      <w:marRight w:val="0"/>
      <w:marTop w:val="0"/>
      <w:marBottom w:val="0"/>
      <w:divBdr>
        <w:top w:val="none" w:sz="0" w:space="0" w:color="auto"/>
        <w:left w:val="none" w:sz="0" w:space="0" w:color="auto"/>
        <w:bottom w:val="none" w:sz="0" w:space="0" w:color="auto"/>
        <w:right w:val="none" w:sz="0" w:space="0" w:color="auto"/>
      </w:divBdr>
    </w:div>
    <w:div w:id="1185172822">
      <w:marLeft w:val="0"/>
      <w:marRight w:val="0"/>
      <w:marTop w:val="0"/>
      <w:marBottom w:val="0"/>
      <w:divBdr>
        <w:top w:val="none" w:sz="0" w:space="0" w:color="auto"/>
        <w:left w:val="none" w:sz="0" w:space="0" w:color="auto"/>
        <w:bottom w:val="none" w:sz="0" w:space="0" w:color="auto"/>
        <w:right w:val="none" w:sz="0" w:space="0" w:color="auto"/>
      </w:divBdr>
    </w:div>
    <w:div w:id="1185172823">
      <w:marLeft w:val="0"/>
      <w:marRight w:val="0"/>
      <w:marTop w:val="0"/>
      <w:marBottom w:val="0"/>
      <w:divBdr>
        <w:top w:val="none" w:sz="0" w:space="0" w:color="auto"/>
        <w:left w:val="none" w:sz="0" w:space="0" w:color="auto"/>
        <w:bottom w:val="none" w:sz="0" w:space="0" w:color="auto"/>
        <w:right w:val="none" w:sz="0" w:space="0" w:color="auto"/>
      </w:divBdr>
    </w:div>
    <w:div w:id="1185172824">
      <w:marLeft w:val="0"/>
      <w:marRight w:val="0"/>
      <w:marTop w:val="0"/>
      <w:marBottom w:val="0"/>
      <w:divBdr>
        <w:top w:val="none" w:sz="0" w:space="0" w:color="auto"/>
        <w:left w:val="none" w:sz="0" w:space="0" w:color="auto"/>
        <w:bottom w:val="none" w:sz="0" w:space="0" w:color="auto"/>
        <w:right w:val="none" w:sz="0" w:space="0" w:color="auto"/>
      </w:divBdr>
    </w:div>
    <w:div w:id="1185172825">
      <w:marLeft w:val="0"/>
      <w:marRight w:val="0"/>
      <w:marTop w:val="0"/>
      <w:marBottom w:val="0"/>
      <w:divBdr>
        <w:top w:val="none" w:sz="0" w:space="0" w:color="auto"/>
        <w:left w:val="none" w:sz="0" w:space="0" w:color="auto"/>
        <w:bottom w:val="none" w:sz="0" w:space="0" w:color="auto"/>
        <w:right w:val="none" w:sz="0" w:space="0" w:color="auto"/>
      </w:divBdr>
    </w:div>
    <w:div w:id="1185172826">
      <w:marLeft w:val="0"/>
      <w:marRight w:val="0"/>
      <w:marTop w:val="0"/>
      <w:marBottom w:val="0"/>
      <w:divBdr>
        <w:top w:val="none" w:sz="0" w:space="0" w:color="auto"/>
        <w:left w:val="none" w:sz="0" w:space="0" w:color="auto"/>
        <w:bottom w:val="none" w:sz="0" w:space="0" w:color="auto"/>
        <w:right w:val="none" w:sz="0" w:space="0" w:color="auto"/>
      </w:divBdr>
    </w:div>
    <w:div w:id="1244948422">
      <w:bodyDiv w:val="1"/>
      <w:marLeft w:val="0"/>
      <w:marRight w:val="0"/>
      <w:marTop w:val="0"/>
      <w:marBottom w:val="0"/>
      <w:divBdr>
        <w:top w:val="none" w:sz="0" w:space="0" w:color="auto"/>
        <w:left w:val="none" w:sz="0" w:space="0" w:color="auto"/>
        <w:bottom w:val="none" w:sz="0" w:space="0" w:color="auto"/>
        <w:right w:val="none" w:sz="0" w:space="0" w:color="auto"/>
      </w:divBdr>
    </w:div>
    <w:div w:id="1855924292">
      <w:bodyDiv w:val="1"/>
      <w:marLeft w:val="0"/>
      <w:marRight w:val="0"/>
      <w:marTop w:val="0"/>
      <w:marBottom w:val="0"/>
      <w:divBdr>
        <w:top w:val="none" w:sz="0" w:space="0" w:color="auto"/>
        <w:left w:val="none" w:sz="0" w:space="0" w:color="auto"/>
        <w:bottom w:val="none" w:sz="0" w:space="0" w:color="auto"/>
        <w:right w:val="none" w:sz="0" w:space="0" w:color="auto"/>
      </w:divBdr>
      <w:divsChild>
        <w:div w:id="172260504">
          <w:marLeft w:val="0"/>
          <w:marRight w:val="0"/>
          <w:marTop w:val="0"/>
          <w:marBottom w:val="0"/>
          <w:divBdr>
            <w:top w:val="none" w:sz="0" w:space="0" w:color="auto"/>
            <w:left w:val="none" w:sz="0" w:space="0" w:color="auto"/>
            <w:bottom w:val="none" w:sz="0" w:space="0" w:color="auto"/>
            <w:right w:val="none" w:sz="0" w:space="0" w:color="auto"/>
          </w:divBdr>
        </w:div>
        <w:div w:id="1995721112">
          <w:marLeft w:val="0"/>
          <w:marRight w:val="0"/>
          <w:marTop w:val="0"/>
          <w:marBottom w:val="0"/>
          <w:divBdr>
            <w:top w:val="none" w:sz="0" w:space="0" w:color="auto"/>
            <w:left w:val="none" w:sz="0" w:space="0" w:color="auto"/>
            <w:bottom w:val="none" w:sz="0" w:space="0" w:color="auto"/>
            <w:right w:val="none" w:sz="0" w:space="0" w:color="auto"/>
          </w:divBdr>
        </w:div>
        <w:div w:id="1717001410">
          <w:marLeft w:val="0"/>
          <w:marRight w:val="0"/>
          <w:marTop w:val="0"/>
          <w:marBottom w:val="0"/>
          <w:divBdr>
            <w:top w:val="none" w:sz="0" w:space="0" w:color="auto"/>
            <w:left w:val="none" w:sz="0" w:space="0" w:color="auto"/>
            <w:bottom w:val="none" w:sz="0" w:space="0" w:color="auto"/>
            <w:right w:val="none" w:sz="0" w:space="0" w:color="auto"/>
          </w:divBdr>
        </w:div>
        <w:div w:id="431826735">
          <w:marLeft w:val="0"/>
          <w:marRight w:val="0"/>
          <w:marTop w:val="0"/>
          <w:marBottom w:val="0"/>
          <w:divBdr>
            <w:top w:val="none" w:sz="0" w:space="0" w:color="auto"/>
            <w:left w:val="none" w:sz="0" w:space="0" w:color="auto"/>
            <w:bottom w:val="none" w:sz="0" w:space="0" w:color="auto"/>
            <w:right w:val="none" w:sz="0" w:space="0" w:color="auto"/>
          </w:divBdr>
        </w:div>
        <w:div w:id="1372725375">
          <w:marLeft w:val="0"/>
          <w:marRight w:val="0"/>
          <w:marTop w:val="0"/>
          <w:marBottom w:val="0"/>
          <w:divBdr>
            <w:top w:val="none" w:sz="0" w:space="0" w:color="auto"/>
            <w:left w:val="none" w:sz="0" w:space="0" w:color="auto"/>
            <w:bottom w:val="none" w:sz="0" w:space="0" w:color="auto"/>
            <w:right w:val="none" w:sz="0" w:space="0" w:color="auto"/>
          </w:divBdr>
        </w:div>
        <w:div w:id="1087921652">
          <w:marLeft w:val="0"/>
          <w:marRight w:val="0"/>
          <w:marTop w:val="0"/>
          <w:marBottom w:val="0"/>
          <w:divBdr>
            <w:top w:val="none" w:sz="0" w:space="0" w:color="auto"/>
            <w:left w:val="none" w:sz="0" w:space="0" w:color="auto"/>
            <w:bottom w:val="none" w:sz="0" w:space="0" w:color="auto"/>
            <w:right w:val="none" w:sz="0" w:space="0" w:color="auto"/>
          </w:divBdr>
        </w:div>
        <w:div w:id="16808693">
          <w:marLeft w:val="0"/>
          <w:marRight w:val="0"/>
          <w:marTop w:val="0"/>
          <w:marBottom w:val="0"/>
          <w:divBdr>
            <w:top w:val="none" w:sz="0" w:space="0" w:color="auto"/>
            <w:left w:val="none" w:sz="0" w:space="0" w:color="auto"/>
            <w:bottom w:val="none" w:sz="0" w:space="0" w:color="auto"/>
            <w:right w:val="none" w:sz="0" w:space="0" w:color="auto"/>
          </w:divBdr>
        </w:div>
        <w:div w:id="843517330">
          <w:marLeft w:val="0"/>
          <w:marRight w:val="0"/>
          <w:marTop w:val="0"/>
          <w:marBottom w:val="0"/>
          <w:divBdr>
            <w:top w:val="none" w:sz="0" w:space="0" w:color="auto"/>
            <w:left w:val="none" w:sz="0" w:space="0" w:color="auto"/>
            <w:bottom w:val="none" w:sz="0" w:space="0" w:color="auto"/>
            <w:right w:val="none" w:sz="0" w:space="0" w:color="auto"/>
          </w:divBdr>
        </w:div>
        <w:div w:id="830826553">
          <w:marLeft w:val="0"/>
          <w:marRight w:val="0"/>
          <w:marTop w:val="0"/>
          <w:marBottom w:val="0"/>
          <w:divBdr>
            <w:top w:val="none" w:sz="0" w:space="0" w:color="auto"/>
            <w:left w:val="none" w:sz="0" w:space="0" w:color="auto"/>
            <w:bottom w:val="none" w:sz="0" w:space="0" w:color="auto"/>
            <w:right w:val="none" w:sz="0" w:space="0" w:color="auto"/>
          </w:divBdr>
        </w:div>
        <w:div w:id="11999783">
          <w:marLeft w:val="0"/>
          <w:marRight w:val="0"/>
          <w:marTop w:val="0"/>
          <w:marBottom w:val="0"/>
          <w:divBdr>
            <w:top w:val="none" w:sz="0" w:space="0" w:color="auto"/>
            <w:left w:val="none" w:sz="0" w:space="0" w:color="auto"/>
            <w:bottom w:val="none" w:sz="0" w:space="0" w:color="auto"/>
            <w:right w:val="none" w:sz="0" w:space="0" w:color="auto"/>
          </w:divBdr>
        </w:div>
        <w:div w:id="1308702603">
          <w:marLeft w:val="0"/>
          <w:marRight w:val="0"/>
          <w:marTop w:val="0"/>
          <w:marBottom w:val="0"/>
          <w:divBdr>
            <w:top w:val="none" w:sz="0" w:space="0" w:color="auto"/>
            <w:left w:val="none" w:sz="0" w:space="0" w:color="auto"/>
            <w:bottom w:val="none" w:sz="0" w:space="0" w:color="auto"/>
            <w:right w:val="none" w:sz="0" w:space="0" w:color="auto"/>
          </w:divBdr>
        </w:div>
        <w:div w:id="2062557858">
          <w:marLeft w:val="0"/>
          <w:marRight w:val="0"/>
          <w:marTop w:val="0"/>
          <w:marBottom w:val="0"/>
          <w:divBdr>
            <w:top w:val="none" w:sz="0" w:space="0" w:color="auto"/>
            <w:left w:val="none" w:sz="0" w:space="0" w:color="auto"/>
            <w:bottom w:val="none" w:sz="0" w:space="0" w:color="auto"/>
            <w:right w:val="none" w:sz="0" w:space="0" w:color="auto"/>
          </w:divBdr>
        </w:div>
        <w:div w:id="621687125">
          <w:marLeft w:val="0"/>
          <w:marRight w:val="0"/>
          <w:marTop w:val="0"/>
          <w:marBottom w:val="0"/>
          <w:divBdr>
            <w:top w:val="none" w:sz="0" w:space="0" w:color="auto"/>
            <w:left w:val="none" w:sz="0" w:space="0" w:color="auto"/>
            <w:bottom w:val="none" w:sz="0" w:space="0" w:color="auto"/>
            <w:right w:val="none" w:sz="0" w:space="0" w:color="auto"/>
          </w:divBdr>
        </w:div>
        <w:div w:id="562176028">
          <w:marLeft w:val="0"/>
          <w:marRight w:val="0"/>
          <w:marTop w:val="0"/>
          <w:marBottom w:val="0"/>
          <w:divBdr>
            <w:top w:val="none" w:sz="0" w:space="0" w:color="auto"/>
            <w:left w:val="none" w:sz="0" w:space="0" w:color="auto"/>
            <w:bottom w:val="none" w:sz="0" w:space="0" w:color="auto"/>
            <w:right w:val="none" w:sz="0" w:space="0" w:color="auto"/>
          </w:divBdr>
        </w:div>
        <w:div w:id="1354571588">
          <w:marLeft w:val="0"/>
          <w:marRight w:val="0"/>
          <w:marTop w:val="0"/>
          <w:marBottom w:val="0"/>
          <w:divBdr>
            <w:top w:val="none" w:sz="0" w:space="0" w:color="auto"/>
            <w:left w:val="none" w:sz="0" w:space="0" w:color="auto"/>
            <w:bottom w:val="none" w:sz="0" w:space="0" w:color="auto"/>
            <w:right w:val="none" w:sz="0" w:space="0" w:color="auto"/>
          </w:divBdr>
        </w:div>
        <w:div w:id="286785720">
          <w:marLeft w:val="0"/>
          <w:marRight w:val="0"/>
          <w:marTop w:val="0"/>
          <w:marBottom w:val="0"/>
          <w:divBdr>
            <w:top w:val="none" w:sz="0" w:space="0" w:color="auto"/>
            <w:left w:val="none" w:sz="0" w:space="0" w:color="auto"/>
            <w:bottom w:val="none" w:sz="0" w:space="0" w:color="auto"/>
            <w:right w:val="none" w:sz="0" w:space="0" w:color="auto"/>
          </w:divBdr>
        </w:div>
        <w:div w:id="161359991">
          <w:marLeft w:val="0"/>
          <w:marRight w:val="0"/>
          <w:marTop w:val="0"/>
          <w:marBottom w:val="0"/>
          <w:divBdr>
            <w:top w:val="none" w:sz="0" w:space="0" w:color="auto"/>
            <w:left w:val="none" w:sz="0" w:space="0" w:color="auto"/>
            <w:bottom w:val="none" w:sz="0" w:space="0" w:color="auto"/>
            <w:right w:val="none" w:sz="0" w:space="0" w:color="auto"/>
          </w:divBdr>
        </w:div>
        <w:div w:id="9453498">
          <w:marLeft w:val="0"/>
          <w:marRight w:val="0"/>
          <w:marTop w:val="0"/>
          <w:marBottom w:val="0"/>
          <w:divBdr>
            <w:top w:val="none" w:sz="0" w:space="0" w:color="auto"/>
            <w:left w:val="none" w:sz="0" w:space="0" w:color="auto"/>
            <w:bottom w:val="none" w:sz="0" w:space="0" w:color="auto"/>
            <w:right w:val="none" w:sz="0" w:space="0" w:color="auto"/>
          </w:divBdr>
        </w:div>
        <w:div w:id="1782384079">
          <w:marLeft w:val="0"/>
          <w:marRight w:val="0"/>
          <w:marTop w:val="0"/>
          <w:marBottom w:val="0"/>
          <w:divBdr>
            <w:top w:val="none" w:sz="0" w:space="0" w:color="auto"/>
            <w:left w:val="none" w:sz="0" w:space="0" w:color="auto"/>
            <w:bottom w:val="none" w:sz="0" w:space="0" w:color="auto"/>
            <w:right w:val="none" w:sz="0" w:space="0" w:color="auto"/>
          </w:divBdr>
        </w:div>
        <w:div w:id="1526209053">
          <w:marLeft w:val="0"/>
          <w:marRight w:val="0"/>
          <w:marTop w:val="0"/>
          <w:marBottom w:val="0"/>
          <w:divBdr>
            <w:top w:val="none" w:sz="0" w:space="0" w:color="auto"/>
            <w:left w:val="none" w:sz="0" w:space="0" w:color="auto"/>
            <w:bottom w:val="none" w:sz="0" w:space="0" w:color="auto"/>
            <w:right w:val="none" w:sz="0" w:space="0" w:color="auto"/>
          </w:divBdr>
        </w:div>
        <w:div w:id="1216430239">
          <w:marLeft w:val="0"/>
          <w:marRight w:val="0"/>
          <w:marTop w:val="0"/>
          <w:marBottom w:val="0"/>
          <w:divBdr>
            <w:top w:val="none" w:sz="0" w:space="0" w:color="auto"/>
            <w:left w:val="none" w:sz="0" w:space="0" w:color="auto"/>
            <w:bottom w:val="none" w:sz="0" w:space="0" w:color="auto"/>
            <w:right w:val="none" w:sz="0" w:space="0" w:color="auto"/>
          </w:divBdr>
        </w:div>
        <w:div w:id="586884930">
          <w:marLeft w:val="0"/>
          <w:marRight w:val="0"/>
          <w:marTop w:val="0"/>
          <w:marBottom w:val="0"/>
          <w:divBdr>
            <w:top w:val="none" w:sz="0" w:space="0" w:color="auto"/>
            <w:left w:val="none" w:sz="0" w:space="0" w:color="auto"/>
            <w:bottom w:val="none" w:sz="0" w:space="0" w:color="auto"/>
            <w:right w:val="none" w:sz="0" w:space="0" w:color="auto"/>
          </w:divBdr>
        </w:div>
        <w:div w:id="275135521">
          <w:marLeft w:val="0"/>
          <w:marRight w:val="0"/>
          <w:marTop w:val="0"/>
          <w:marBottom w:val="0"/>
          <w:divBdr>
            <w:top w:val="none" w:sz="0" w:space="0" w:color="auto"/>
            <w:left w:val="none" w:sz="0" w:space="0" w:color="auto"/>
            <w:bottom w:val="none" w:sz="0" w:space="0" w:color="auto"/>
            <w:right w:val="none" w:sz="0" w:space="0" w:color="auto"/>
          </w:divBdr>
        </w:div>
        <w:div w:id="1417941515">
          <w:marLeft w:val="0"/>
          <w:marRight w:val="0"/>
          <w:marTop w:val="0"/>
          <w:marBottom w:val="0"/>
          <w:divBdr>
            <w:top w:val="none" w:sz="0" w:space="0" w:color="auto"/>
            <w:left w:val="none" w:sz="0" w:space="0" w:color="auto"/>
            <w:bottom w:val="none" w:sz="0" w:space="0" w:color="auto"/>
            <w:right w:val="none" w:sz="0" w:space="0" w:color="auto"/>
          </w:divBdr>
        </w:div>
        <w:div w:id="939947051">
          <w:marLeft w:val="0"/>
          <w:marRight w:val="0"/>
          <w:marTop w:val="0"/>
          <w:marBottom w:val="0"/>
          <w:divBdr>
            <w:top w:val="none" w:sz="0" w:space="0" w:color="auto"/>
            <w:left w:val="none" w:sz="0" w:space="0" w:color="auto"/>
            <w:bottom w:val="none" w:sz="0" w:space="0" w:color="auto"/>
            <w:right w:val="none" w:sz="0" w:space="0" w:color="auto"/>
          </w:divBdr>
        </w:div>
        <w:div w:id="1378427543">
          <w:marLeft w:val="0"/>
          <w:marRight w:val="0"/>
          <w:marTop w:val="0"/>
          <w:marBottom w:val="0"/>
          <w:divBdr>
            <w:top w:val="none" w:sz="0" w:space="0" w:color="auto"/>
            <w:left w:val="none" w:sz="0" w:space="0" w:color="auto"/>
            <w:bottom w:val="none" w:sz="0" w:space="0" w:color="auto"/>
            <w:right w:val="none" w:sz="0" w:space="0" w:color="auto"/>
          </w:divBdr>
        </w:div>
        <w:div w:id="478110419">
          <w:marLeft w:val="0"/>
          <w:marRight w:val="0"/>
          <w:marTop w:val="0"/>
          <w:marBottom w:val="0"/>
          <w:divBdr>
            <w:top w:val="none" w:sz="0" w:space="0" w:color="auto"/>
            <w:left w:val="none" w:sz="0" w:space="0" w:color="auto"/>
            <w:bottom w:val="none" w:sz="0" w:space="0" w:color="auto"/>
            <w:right w:val="none" w:sz="0" w:space="0" w:color="auto"/>
          </w:divBdr>
        </w:div>
        <w:div w:id="1468816267">
          <w:marLeft w:val="0"/>
          <w:marRight w:val="0"/>
          <w:marTop w:val="0"/>
          <w:marBottom w:val="0"/>
          <w:divBdr>
            <w:top w:val="none" w:sz="0" w:space="0" w:color="auto"/>
            <w:left w:val="none" w:sz="0" w:space="0" w:color="auto"/>
            <w:bottom w:val="none" w:sz="0" w:space="0" w:color="auto"/>
            <w:right w:val="none" w:sz="0" w:space="0" w:color="auto"/>
          </w:divBdr>
        </w:div>
        <w:div w:id="98111098">
          <w:marLeft w:val="0"/>
          <w:marRight w:val="0"/>
          <w:marTop w:val="0"/>
          <w:marBottom w:val="0"/>
          <w:divBdr>
            <w:top w:val="none" w:sz="0" w:space="0" w:color="auto"/>
            <w:left w:val="none" w:sz="0" w:space="0" w:color="auto"/>
            <w:bottom w:val="none" w:sz="0" w:space="0" w:color="auto"/>
            <w:right w:val="none" w:sz="0" w:space="0" w:color="auto"/>
          </w:divBdr>
        </w:div>
        <w:div w:id="2049867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9D9D1-2B9A-4FCD-94CE-304DB5B10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20</Pages>
  <Words>8340</Words>
  <Characters>57856</Characters>
  <Application>Microsoft Office Word</Application>
  <DocSecurity>0</DocSecurity>
  <Lines>482</Lines>
  <Paragraphs>132</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 за 2013 рік</vt:lpstr>
    </vt:vector>
  </TitlesOfParts>
  <Company>Grizli777</Company>
  <LinksUpToDate>false</LinksUpToDate>
  <CharactersWithSpaces>66064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 за 2013 рік</dc:title>
  <dc:creator>Lara</dc:creator>
  <cp:lastModifiedBy>natali</cp:lastModifiedBy>
  <cp:revision>169</cp:revision>
  <cp:lastPrinted>2017-04-27T06:25:00Z</cp:lastPrinted>
  <dcterms:created xsi:type="dcterms:W3CDTF">2014-04-14T07:59:00Z</dcterms:created>
  <dcterms:modified xsi:type="dcterms:W3CDTF">2017-04-28T10:02:00Z</dcterms:modified>
</cp:coreProperties>
</file>